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Ophthalmic</w:t>
      </w:r>
      <w:r>
        <w:t xml:space="preserve"> </w:t>
      </w:r>
      <w:r>
        <w:t xml:space="preserve">Assessment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Patient ID:</w:t>
      </w:r>
      <w:r>
        <w:t xml:space="preserve"> </w:t>
      </w:r>
      <w:r>
        <w:t xml:space="preserve">884-99-XX</w:t>
      </w:r>
      <w:r>
        <w:br/>
      </w:r>
      <w:r>
        <w:rPr>
          <w:bCs/>
          <w:b/>
        </w:rPr>
        <w:t xml:space="preserve">Date of Service:</w:t>
      </w:r>
      <w:r>
        <w:t xml:space="preserve"> </w:t>
      </w:r>
      <w:r>
        <w:t xml:space="preserve">October 14, 2023</w:t>
      </w:r>
      <w:r>
        <w:br/>
      </w:r>
      <w:r>
        <w:rPr>
          <w:bCs/>
          <w:b/>
        </w:rPr>
        <w:t xml:space="preserve">Facility Location:</w:t>
      </w:r>
      <w:r>
        <w:t xml:space="preserve"> </w:t>
      </w:r>
      <w:r>
        <w:t xml:space="preserve">United States Miami, FL</w:t>
      </w:r>
      <w:r>
        <w:br/>
      </w:r>
      <w:r>
        <w:rPr>
          <w:bCs/>
          <w:b/>
        </w:rPr>
        <w:t xml:space="preserve">Type of Document:</w:t>
      </w:r>
      <w:r>
        <w:t xml:space="preserve"> </w:t>
      </w:r>
      <w:r>
        <w:t xml:space="preserve">Comprehensive Ophthalmic Lab Report</w:t>
      </w:r>
    </w:p>
    <w:bookmarkStart w:id="26" w:name="X69443bc4bd0776a24f45fca7024681ccdf346e1"/>
    <w:p>
      <w:pPr>
        <w:pStyle w:val="Heading1"/>
      </w:pPr>
      <w:r>
        <w:t xml:space="preserve">Clinical Laboratory Report: Ophthalmic Assessment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Attending Physician / Patient Record</w:t>
      </w:r>
      <w:r>
        <w:br/>
      </w:r>
      <w:r>
        <w:rPr>
          <w:bCs/>
          <w:b/>
        </w:rPr>
        <w:t xml:space="preserve">From:</w:t>
      </w:r>
      <w:r>
        <w:t xml:space="preserve"> </w:t>
      </w:r>
      <w:r>
        <w:t xml:space="preserve">Diagnostic Imaging and Optometry Laboratory Division</w:t>
      </w:r>
    </w:p>
    <w:bookmarkStart w:id="20" w:name="i.-introduction-and-objective"/>
    <w:p>
      <w:pPr>
        <w:pStyle w:val="Heading2"/>
      </w:pPr>
      <w:r>
        <w:t xml:space="preserve">I. Introduction and Objective</w:t>
      </w:r>
    </w:p>
    <w:p>
      <w:pPr>
        <w:pStyle w:val="FirstParagraph"/>
      </w:pPr>
      <w:r>
        <w:t xml:space="preserve">The primary objective of this comprehensive laboratory report is to detail the diagnostic findings, procedural methodologies, and clinical interpretations associated with ophthalmic evaluations conducted within the specialized medical infrastructure of Miami, United States. As a global hub for medical tourism and high-volume clinical care, Miami presents a unique demographic landscape for ophthalmologic practice. This document serves as an official record of patient data collected during routine screening procedures designed to assess retinal health, intraocular pressure dynamics, and corneal topography. The report is structured to adhere strictly to the rigorous standards required by medical institutions in the United States, ensuring that all findings regarding ophthalmic conditions are documented with precision and clarity for both clinical correlation and administrative compliance.</w:t>
      </w:r>
    </w:p>
    <w:bookmarkEnd w:id="20"/>
    <w:bookmarkStart w:id="21" w:name="X56d2311afa340ba937644ffa1471d53c7cac827"/>
    <w:p>
      <w:pPr>
        <w:pStyle w:val="Heading2"/>
      </w:pPr>
      <w:r>
        <w:t xml:space="preserve">II. Patient Demographics and Clinical History</w:t>
      </w:r>
    </w:p>
    <w:p>
      <w:pPr>
        <w:pStyle w:val="FirstParagraph"/>
      </w:pPr>
      <w:r>
        <w:t xml:space="preserve">The subject of this evaluation is a 58-year-old male resident currently seeking care in the United States Miami metro area. The patient presented to the facility with complaints of intermittent blurred vision and mild photophobia, symptoms that have persisted over the last three weeks. Given the subtropical climate and high UV index characteristic of Miami, Florida, environmental factors such as prolonged sun exposure were considered relevant contextual variables during history taking.</w:t>
      </w:r>
    </w:p>
    <w:p>
      <w:pPr>
        <w:pStyle w:val="BodyText"/>
      </w:pPr>
      <w:r>
        <w:t xml:space="preserve">The patient’s medical history includes controlled hypertension and a family history of glaucoma in both parents. These risk factors necessitated a thorough diagnostic workup to rule out hereditary ocular pathologies. The clinical interview established that the patient has not undergone an eye examination in over five years, highlighting the importance of routine preventive care screenings available through local ophthalmologist networks.</w:t>
      </w:r>
    </w:p>
    <w:bookmarkEnd w:id="21"/>
    <w:bookmarkStart w:id="22" w:name="X24287fdad968d2fb49baedffc9f29e1dbcdf278"/>
    <w:p>
      <w:pPr>
        <w:pStyle w:val="Heading2"/>
      </w:pPr>
      <w:r>
        <w:t xml:space="preserve">III. Methodology and Diagnostic Procedures</w:t>
      </w:r>
    </w:p>
    <w:p>
      <w:pPr>
        <w:pStyle w:val="FirstParagraph"/>
      </w:pPr>
      <w:r>
        <w:t xml:space="preserve">The diagnostic protocol employed for this evaluation utilized state-of-the-art technology typically found in advanced ophthalmologic centers within the United States Miami region. The following procedures were executed:</w:t>
      </w:r>
    </w:p>
    <w:p>
      <w:pPr>
        <w:numPr>
          <w:ilvl w:val="0"/>
          <w:numId w:val="1001"/>
        </w:numPr>
        <w:pStyle w:val="Compact"/>
      </w:pPr>
      <w:r>
        <w:rPr>
          <w:bCs/>
          <w:b/>
        </w:rPr>
        <w:t xml:space="preserve">Visual Acuity Testing:</w:t>
      </w:r>
      <w:r>
        <w:t xml:space="preserve"> </w:t>
      </w:r>
      <w:r>
        <w:t xml:space="preserve">Standard Snellen chart testing was performed at distance and near to establish baseline refractive status.</w:t>
      </w:r>
    </w:p>
    <w:p>
      <w:pPr>
        <w:numPr>
          <w:ilvl w:val="0"/>
          <w:numId w:val="1001"/>
        </w:numPr>
        <w:pStyle w:val="Compact"/>
      </w:pPr>
      <w:r>
        <w:rPr>
          <w:bCs/>
          <w:b/>
        </w:rPr>
        <w:t xml:space="preserve">Pachymetry and Tonometry:</w:t>
      </w:r>
      <w:r>
        <w:t xml:space="preserve"> </w:t>
      </w:r>
      <w:r>
        <w:t xml:space="preserve">Non-contact tonometry was utilized to measure intraocular pressure (IOP), a critical metric for glaucoma screening. Corneal thickness measurements were taken via ultrasonic pachymetry to adjust IOP readings accurately.</w:t>
      </w:r>
    </w:p>
    <w:p>
      <w:pPr>
        <w:numPr>
          <w:ilvl w:val="0"/>
          <w:numId w:val="1001"/>
        </w:numPr>
        <w:pStyle w:val="Compact"/>
      </w:pPr>
      <w:r>
        <w:rPr>
          <w:bCs/>
          <w:b/>
        </w:rPr>
        <w:t xml:space="preserve">Dilated Fundus Examination:</w:t>
      </w:r>
      <w:r>
        <w:t xml:space="preserve"> </w:t>
      </w:r>
      <w:r>
        <w:t xml:space="preserve">After pharmacological dilation using tropicamide and phenylephrine drops, the posterior segment of the eye was examined for retinal detachments, hemorrhages, or macular degeneration signs.</w:t>
      </w:r>
    </w:p>
    <w:p>
      <w:pPr>
        <w:numPr>
          <w:ilvl w:val="0"/>
          <w:numId w:val="1001"/>
        </w:numPr>
        <w:pStyle w:val="Compact"/>
      </w:pPr>
      <w:r>
        <w:rPr>
          <w:bCs/>
          <w:b/>
        </w:rPr>
        <w:t xml:space="preserve">OCT (Optical Coherence Tomography):</w:t>
      </w:r>
      <w:r>
        <w:t xml:space="preserve">&gt; This non-invasive imaging test provided cross-sectional images of the retina and optic nerve head. It is particularly vital in the United States Miami clinical setting due to its high sensitivity in detecting early-stage diabetic retinopathy and age-related macular degeneration, conditions prevalent in aging populations.</w:t>
      </w:r>
    </w:p>
    <w:p>
      <w:pPr>
        <w:numPr>
          <w:ilvl w:val="0"/>
          <w:numId w:val="1001"/>
        </w:numPr>
        <w:pStyle w:val="Compact"/>
      </w:pPr>
      <w:r>
        <w:rPr>
          <w:bCs/>
          <w:b/>
        </w:rPr>
        <w:t xml:space="preserve">Visual Field Testing:</w:t>
      </w:r>
      <w:r>
        <w:t xml:space="preserve">&gt; Automated perimetry was conducted to map the patient's visual field, checking for peripheral vision loss indicative of glaucomatous damage or neurological issues.</w:t>
      </w:r>
    </w:p>
    <w:bookmarkEnd w:id="22"/>
    <w:bookmarkStart w:id="23" w:name="iv.-clinical-findings-and-results"/>
    <w:p>
      <w:pPr>
        <w:pStyle w:val="Heading2"/>
      </w:pPr>
      <w:r>
        <w:t xml:space="preserve">IV. Clinical Findings and Results</w:t>
      </w:r>
    </w:p>
    <w:p>
      <w:pPr>
        <w:pStyle w:val="FirstParagraph"/>
      </w:pPr>
      <w:r>
        <w:t xml:space="preserve">The data collected from the aforementioned procedures yielded specific quantitative and qualitative results:</w:t>
      </w:r>
    </w:p>
    <w:p>
      <w:pPr>
        <w:pStyle w:val="BodyText"/>
      </w:pPr>
      <w:r>
        <w:t xml:space="preserve">Metric</w:t>
      </w:r>
    </w:p>
    <w:p>
      <w:pPr>
        <w:pStyle w:val="BodyText"/>
      </w:pPr>
      <w:r>
        <w:t xml:space="preserve">Oculus Dexter (Right Eye)</w:t>
      </w:r>
    </w:p>
    <w:p>
      <w:pPr>
        <w:pStyle w:val="BodyText"/>
      </w:pPr>
      <w:r>
        <w:t xml:space="preserve">Oculus Sinister (Left Eye)</w:t>
      </w:r>
    </w:p>
    <w:p>
      <w:pPr>
        <w:pStyle w:val="BodyText"/>
      </w:pPr>
      <w:r>
        <w:t xml:space="preserve">BEST CORRECTED VISUAL ACUITY</w:t>
      </w:r>
    </w:p>
    <w:p>
      <w:pPr>
        <w:pStyle w:val="BodyText"/>
      </w:pPr>
      <w:r>
        <w:t xml:space="preserve">20/40</w:t>
      </w:r>
    </w:p>
    <w:p>
      <w:pPr>
        <w:pStyle w:val="BodyText"/>
      </w:pPr>
      <w:r>
        <w:t xml:space="preserve">20/50</w:t>
      </w:r>
    </w:p>
    <w:p>
      <w:pPr>
        <w:pStyle w:val="BodyText"/>
      </w:pPr>
      <w:r>
        <w:t xml:space="preserve">&gt;</w:t>
      </w:r>
    </w:p>
    <w:p>
      <w:pPr>
        <w:pStyle w:val="BodyText"/>
      </w:pPr>
      <w:r>
        <w:t xml:space="preserve">Intraocular Pressure (IOP)</w:t>
      </w:r>
    </w:p>
    <w:p>
      <w:pPr>
        <w:pStyle w:val="BodyText"/>
      </w:pPr>
      <w:r>
        <w:t xml:space="preserve">&gt; 18 mmHg</w:t>
      </w:r>
    </w:p>
    <w:p>
      <w:pPr>
        <w:pStyle w:val="BodyText"/>
      </w:pPr>
      <w:r>
        <w:t xml:space="preserve">&gt; 19 mmHg/TD&gt;</w:t>
      </w:r>
    </w:p>
    <w:p>
      <w:pPr>
        <w:pStyle w:val="BodyText"/>
      </w:pPr>
      <w:r>
        <w:t xml:space="preserve">&gt;</w:t>
      </w:r>
    </w:p>
    <w:p>
      <w:pPr>
        <w:pStyle w:val="BodyText"/>
      </w:pPr>
      <w:r>
        <w:t xml:space="preserve">Central Corneal Thickness (CCT)&gt;&gt; 542 µm&gt;&gt; 538 µm/TD&gt;</w:t>
      </w:r>
    </w:p>
    <w:p>
      <w:pPr>
        <w:pStyle w:val="BodyText"/>
      </w:pPr>
      <w:r>
        <w:t xml:space="preserve">Optic Nerve Head Evaluation</w:t>
      </w:r>
    </w:p>
    <w:p>
      <w:pPr>
        <w:pStyle w:val="BodyText"/>
      </w:pPr>
      <w:r>
        <w:t xml:space="preserve">&gt; Healthy Cup-to-Disc Ratio (0.3)</w:t>
      </w:r>
    </w:p>
    <w:p>
      <w:pPr>
        <w:pStyle w:val="BodyText"/>
      </w:pPr>
      <w:r>
        <w:t xml:space="preserve">&gt; Slight Temporal Pallor (0.4)</w:t>
      </w:r>
    </w:p>
    <w:p>
      <w:pPr>
        <w:pStyle w:val="BodyText"/>
      </w:pPr>
      <w:r>
        <w:t xml:space="preserve">&gt;</w:t>
      </w:r>
    </w:p>
    <w:p>
      <w:pPr>
        <w:pStyle w:val="BodyText"/>
      </w:pPr>
      <w:r>
        <w:t xml:space="preserve">Macular Integrity</w:t>
      </w:r>
    </w:p>
    <w:p>
      <w:pPr>
        <w:pStyle w:val="BodyText"/>
      </w:pPr>
      <w:r>
        <w:t xml:space="preserve">&gt; Intact, No Drusen observed&gt;&gt; Minor Pigmentary Changes/TD&gt;</w:t>
      </w:r>
    </w:p>
    <w:p>
      <w:pPr>
        <w:pStyle w:val="BodyText"/>
      </w:pPr>
      <w:r>
        <w:t xml:space="preserve">The intraocular pressures measured are within the normal range (10-21 mmHg), though the left eye is approaching the upper limit of normality. The OCT scans revealed a healthy retinal nerve fiber layer in both eyes, with no evidence of thinning associated with glaucoma at this stage. However, minor pigmentary changes were noted in the macula of the left eye, suggesting early signs of age-related macular degeneration (AMD). These findings are consistent with the patient's age and family history.</w:t>
      </w:r>
    </w:p>
    <w:bookmarkEnd w:id="23"/>
    <w:bookmarkStart w:id="24" w:name="v.-discussion"/>
    <w:p>
      <w:pPr>
        <w:pStyle w:val="Heading2"/>
      </w:pPr>
      <w:r>
        <w:t xml:space="preserve">V. Discussion</w:t>
      </w:r>
    </w:p>
    <w:p>
      <w:pPr>
        <w:pStyle w:val="FirstParagraph"/>
      </w:pPr>
      <w:r>
        <w:t xml:space="preserve">The results indicate a generally healthy ocular status with minor anomalies requiring monitoring. The slight pigmentary changes in the left eye are clinically significant as they may progress to dry AMD if not managed properly. In the context of ophthalmologist practices in United States Miami, where patients often seek care for both local and tropical-related ocular irritations, this case underscores the importance of distinguishing between environmental stressors and degenerative conditions.</w:t>
      </w:r>
    </w:p>
    <w:p>
      <w:pPr>
        <w:pStyle w:val="BodyText"/>
      </w:pPr>
      <w:r>
        <w:t xml:space="preserve">The use of OCT technology was particularly advantageous here. In many regions without access to such advanced imaging, early AMD might go undetected until visual symptoms become severe. The integration of these technologies in Miami’s medical infrastructure allows for earlier intervention, potentially preserving vision quality for longer periods. Furthermore, the elevated risk factors—hypertension and family history of glaucoma—necessitate a more frequent follow-up schedule than standard annual exams.</w:t>
      </w:r>
    </w:p>
    <w:bookmarkEnd w:id="24"/>
    <w:bookmarkStart w:id="25" w:name="vi.-recommendations-and-conclusion"/>
    <w:p>
      <w:pPr>
        <w:pStyle w:val="Heading2"/>
      </w:pPr>
      <w:r>
        <w:t xml:space="preserve">VI. Recommendations and Conclusion</w:t>
      </w:r>
    </w:p>
    <w:p>
      <w:pPr>
        <w:pStyle w:val="FirstParagraph"/>
      </w:pPr>
      <w:r>
        <w:t xml:space="preserve">Based on the comprehensive analysis presented in this laboratory report, the following recommendations are made:</w:t>
      </w:r>
    </w:p>
    <w:p>
      <w:pPr>
        <w:numPr>
          <w:ilvl w:val="0"/>
          <w:numId w:val="1002"/>
        </w:numPr>
        <w:pStyle w:val="Compact"/>
      </w:pPr>
      <w:r>
        <w:rPr>
          <w:bCs/>
          <w:b/>
        </w:rPr>
        <w:t xml:space="preserve">Frequent Monitoring:</w:t>
      </w:r>
      <w:r>
        <w:t xml:space="preserve">&gt; The patient is advised to return for a follow-up appointment within six months to monitor the progression of pigmentary changes in the left eye.</w:t>
      </w:r>
    </w:p>
    <w:p>
      <w:pPr>
        <w:numPr>
          <w:ilvl w:val="0"/>
          <w:numId w:val="1002"/>
        </w:numPr>
        <w:pStyle w:val="Compact"/>
      </w:pPr>
      <w:r>
        <w:t xml:space="preserve">Antioxidant Supplementation:</w:t>
      </w:r>
    </w:p>
    <w:p>
      <w:pPr>
        <w:numPr>
          <w:ilvl w:val="0"/>
          <w:numId w:val="1002"/>
        </w:numPr>
        <w:pStyle w:val="Compact"/>
      </w:pPr>
      <w:r>
        <w:t xml:space="preserve">UV Protection:&gt;&gt; Strict adherence to UV-protective eyewear is recommended, given Miami's intense solar radiation which can exacerbate macular issues.</w:t>
      </w:r>
    </w:p>
    <w:p>
      <w:pPr>
        <w:numPr>
          <w:ilvl w:val="0"/>
          <w:numId w:val="1002"/>
        </w:numPr>
        <w:pStyle w:val="Compact"/>
      </w:pPr>
      <w:r>
        <w:t xml:space="preserve">Blood Pressure Management:</w:t>
      </w:r>
    </w:p>
    <w:p>
      <w:pPr>
        <w:pStyle w:val="FirstParagraph"/>
      </w:pPr>
      <w:r>
        <w:t xml:space="preserve">In conclusion, this laboratory report confirms that while the patient does not currently exhibit sight-threatening pathology, they are at elevated risk for age-related ocular conditions. The detailed evaluation conducted in United States Miami highlights the efficacy of modern ophthalmic diagnostics in identifying pre-clinical changes. Continued collaboration between the patient and their ophthalmologist will be crucial in maintaining long-term visual health. This document serves as a permanent record of this specific diagnostic encounter, ensuring continuity of care should the patient seek treatment at another facility within the United States healthcare system.</w:t>
      </w:r>
    </w:p>
    <w:p>
      <w:pPr>
        <w:pStyle w:val="BodyText"/>
      </w:pPr>
      <w:r>
        <w:rPr>
          <w:iCs/>
          <w:i/>
        </w:rPr>
        <w:t xml:space="preserve">This report is confidential and intended solely for the use of the individual or entity to whom it is addressed. Unauthorized duplication or distribution is strictly prohibited under HIPAA regulations applicable in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Ophthalmic Assessment in United States Miami</dc:title>
  <dc:creator/>
  <dc:language>en</dc:language>
  <cp:keywords/>
  <dcterms:created xsi:type="dcterms:W3CDTF">2026-07-29T14:35:30Z</dcterms:created>
  <dcterms:modified xsi:type="dcterms:W3CDTF">2026-07-29T14:35:30Z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