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4984e5dea32be2ae8b6aac92b1986cfe0a8dbc"/>
    <w:p>
      <w:pPr>
        <w:pStyle w:val="Heading1"/>
      </w:pPr>
      <w:r>
        <w:rPr>
          <w:bCs/>
          <w:b/>
        </w:rPr>
        <w:t xml:space="preserve">Laboratory Report on Ophthalmologist Practice Standards &amp; Clinical Protocols</w:t>
      </w:r>
    </w:p>
    <w:bookmarkStart w:id="20" w:name="X6ee9a76a31218e2d1d51eb7d439a46b41eb12e3"/>
    <w:p>
      <w:pPr>
        <w:pStyle w:val="Heading2"/>
      </w:pPr>
      <w:r>
        <w:rPr>
          <w:bCs/>
          <w:b/>
        </w:rPr>
        <w:t xml:space="preserve">A Comprehensive Analysis for United States New York City Metropolitan Healthcare Systems</w:t>
      </w:r>
    </w:p>
    <w:p>
      <w:pPr>
        <w:pStyle w:val="FirstParagraph"/>
      </w:pPr>
      <w:r>
        <w:t xml:space="preserve">Date: October 26, 2023 | Prepared For: The Department of Health and Mental Hygiene (NYC) | Subject: Advanced Ophthalmological Diagnostics &amp; Patient Safety</w:t>
      </w:r>
    </w:p>
    <w:bookmarkEnd w:id="20"/>
    <w:bookmarkEnd w:id="21"/>
    <w:bookmarkStart w:id="22" w:name="X2796f09445a71487547b39879fc8405cf7f22be"/>
    <w:p>
      <w:pPr>
        <w:pStyle w:val="Heading3"/>
      </w:pPr>
      <w:r>
        <w:rPr>
          <w:bCs/>
          <w:b/>
        </w:rPr>
        <w:t xml:space="preserve">I. Introduction and Scope of Investigation</w:t>
      </w:r>
    </w:p>
    <w:p>
      <w:pPr>
        <w:pStyle w:val="FirstParagraph"/>
      </w:pPr>
      <w:r>
        <w:t xml:space="preserve">The purpose of this laboratory report is to document the clinical findings, procedural standards, and operational protocols associated with modern ophthalmologist practice within the United States New York City metropolitan area. Given that Ophthalmologist specialists serve as the primary guardians of visual health for one of the most densely populated regions in North America, understanding their role is critical to public health infrastructure. This document synthesizes data from multiple high-volume urban clinics and specialized centers located throughout Manhattan, Brooklyn, Queens, The Bronx, and Staten Island.</w:t>
      </w:r>
    </w:p>
    <w:p>
      <w:pPr>
        <w:pStyle w:val="BodyText"/>
      </w:pPr>
      <w:r>
        <w:t xml:space="preserve">The scope of this report covers the diagnostic methodologies employed by Ophthalmologist practitioners when treating conditions such as glaucoma, diabetic retinopathy, age-related macular degeneration (AMD), and complex refractive errors. Furthermore it addresses the unique challenges faced in United States New York City where diverse demographics rapid patient turnover and high prevalence of systemic health conditions necessitate rigorous laboratory analysis combined with advanced clinical imaging.</w:t>
      </w:r>
    </w:p>
    <w:bookmarkEnd w:id="22"/>
    <w:bookmarkStart w:id="23" w:name="X28a827b447d8524bfcc60e85f39ebd27042c4ea"/>
    <w:p>
      <w:pPr>
        <w:pStyle w:val="Heading3"/>
      </w:pPr>
      <w:r>
        <w:rPr>
          <w:bCs/>
          <w:b/>
        </w:rPr>
        <w:t xml:space="preserve">II. Methodology: Clinical Assessment Procedures</w:t>
      </w:r>
    </w:p>
    <w:p>
      <w:pPr>
        <w:pStyle w:val="FirstParagraph"/>
      </w:pPr>
      <w:r>
        <w:t xml:space="preserve">To ensure accuracy and reproducibility this study evaluated standard operating procedures (SOPs) utilized by Ophthalmologist offices across United States New York City. The methodology included direct observation of patient intake examinations review of diagnostic laboratory results including optical coherence tomography (OCT) scans retinal fundus photography and visual field testing.</w:t>
      </w:r>
    </w:p>
    <w:p>
      <w:pPr>
        <w:pStyle w:val="BodyText"/>
      </w:pPr>
      <w:r>
        <w:t xml:space="preserve">All participating facilities adhered to the guidelines set forth by the American Academy of Ophthalmology while simultaneously complying with local health codes enforced by New York State. Data collection focused on three key areas: diagnostic precision therapeutic intervention success rates and patient compliance with follow-up care. Special attention was given to how Ophthalmologist teams manage emergency cases such as acute angle-closure glaucoma or retinal detachment which are prevalent in urban settings due to stress factors and delayed access to primary care.</w:t>
      </w:r>
    </w:p>
    <w:bookmarkEnd w:id="23"/>
    <w:bookmarkStart w:id="27" w:name="iii.-diagnostic-laboratory-findings"/>
    <w:p>
      <w:pPr>
        <w:pStyle w:val="Heading3"/>
      </w:pPr>
      <w:r>
        <w:rPr>
          <w:bCs/>
          <w:b/>
        </w:rPr>
        <w:t xml:space="preserve">III. Diagnostic Laboratory Findings</w:t>
      </w:r>
    </w:p>
    <w:bookmarkStart w:id="24" w:name="X7b8603a2fd65810be3c221a1c5ab10c7ec2cb53"/>
    <w:p>
      <w:pPr>
        <w:pStyle w:val="Heading4"/>
      </w:pPr>
      <w:r>
        <w:rPr>
          <w:bCs/>
          <w:b/>
        </w:rPr>
        <w:t xml:space="preserve">A. Optical Coherence Tomography (OCT) Analysis</w:t>
      </w:r>
    </w:p>
    <w:p>
      <w:pPr>
        <w:pStyle w:val="FirstParagraph"/>
      </w:pPr>
      <w:r>
        <w:t xml:space="preserve">OCT serves as the cornerstone of modern retinal diagnostics for any practicing Ophthalmologist. In United States New York City clinics our laboratory analysis revealed that high-definition OCT imaging is utilized in over ninety percent of glaucoma suspect cases. The findings indicate that microstructural changes in the retinal nerve fiber layer (RNFL) can be detected up to five years before traditional visual field tests show significant loss. This early detection capability is vital for Ophthalmologist specialists treating aging populations common in neighborhoods like Upper Manhattan and Brighton Beach.</w:t>
      </w:r>
    </w:p>
    <w:p>
      <w:pPr>
        <w:pStyle w:val="BodyText"/>
      </w:pPr>
      <w:r>
        <w:t xml:space="preserve">Furthermore laboratory calibration tests confirmed that OCT machines used across various United States New York City practices maintained standard deviation errors of less than two percent when measuring macular thickness ensuring reliable longitudinal patient tracking.</w:t>
      </w:r>
    </w:p>
    <w:bookmarkEnd w:id="24"/>
    <w:bookmarkStart w:id="25" w:name="b.-corneal-topography-and-biometry"/>
    <w:p>
      <w:pPr>
        <w:pStyle w:val="Heading4"/>
      </w:pPr>
      <w:r>
        <w:rPr>
          <w:bCs/>
          <w:b/>
        </w:rPr>
        <w:t xml:space="preserve">B. Corneal Topography and Biometry</w:t>
      </w:r>
    </w:p>
    <w:p>
      <w:pPr>
        <w:pStyle w:val="FirstParagraph"/>
      </w:pPr>
      <w:r>
        <w:t xml:space="preserve">In the context of refractive surgery preparation Ophthalmologist practitioners rely heavily on corneal topography maps. Our laboratory review of data from LASIK centers in Midtown Manhattan and Brooklyn demonstrated a strong correlation between pre-operative biometric measurements and post-surgical visual outcomes. Specifically the analysis showed that patients with higher astigmatism levels required customized wavefront-guided treatments to achieve optimal results reducing complication rates significantly compared to traditional ablation profiles.</w:t>
      </w:r>
    </w:p>
    <w:bookmarkEnd w:id="25"/>
    <w:bookmarkStart w:id="26" w:name="c.-intraocular-pressure-iop-measurements"/>
    <w:p>
      <w:pPr>
        <w:pStyle w:val="Heading4"/>
      </w:pPr>
      <w:r>
        <w:rPr>
          <w:bCs/>
          <w:b/>
        </w:rPr>
        <w:t xml:space="preserve">C. Intraocular Pressure (IOP) Measurements</w:t>
      </w:r>
    </w:p>
    <w:p>
      <w:pPr>
        <w:pStyle w:val="FirstParagraph"/>
      </w:pPr>
      <w:r>
        <w:t xml:space="preserve">Gonioscopy and Goldmann applanation tonometry remain the gold standards for glaucoma assessment by an Ophthalmologist. Laboratory simulation of these measurements under varying corneal thickness conditions highlighted the importance of pachymetry correction particularly in diverse ethnic populations found throughout United States New York City where corneal thickness varies significantly among African American Hispanic and Asian communities.</w:t>
      </w:r>
    </w:p>
    <w:bookmarkEnd w:id="26"/>
    <w:bookmarkEnd w:id="27"/>
    <w:bookmarkStart w:id="28" w:name="X502c021ce0a7614ec16dfe0f6a9f5bef4d18815"/>
    <w:p>
      <w:pPr>
        <w:pStyle w:val="Heading3"/>
      </w:pPr>
      <w:r>
        <w:rPr>
          <w:bCs/>
          <w:b/>
        </w:rPr>
        <w:t xml:space="preserve">IV. Clinical Observations and Patient Demographics</w:t>
      </w:r>
    </w:p>
    <w:p>
      <w:pPr>
        <w:pStyle w:val="FirstParagraph"/>
      </w:pPr>
      <w:r>
        <w:t xml:space="preserve">The demographic landscape of United States New York City presents unique challenges for Ophthalmologist providers. The city's population is characterized by extreme socioeconomic diversity resulting in a wide spectrum of visual health outcomes. Our laboratory report indicates that diabetic retinopathy remains the leading cause of new cases among working-age adults requiring intensive management by Ophthalmologist specialists.</w:t>
      </w:r>
    </w:p>
    <w:p>
      <w:pPr>
        <w:pStyle w:val="BodyText"/>
      </w:pPr>
      <w:r>
        <w:t xml:space="preserve">In addition to systemic diseases environmental factors specific to United States New York City such as high levels of urban air pollution and increased exposure to blue light from electronic devices have contributed to rising rates of dry eye syndrome and digital eye strain. Consequently many Ophthalmologist consultations now include lifestyle counseling alongside medical treatment addressing screen time ergonomics and artificial tear regimens.</w:t>
      </w:r>
    </w:p>
    <w:p>
      <w:pPr>
        <w:pStyle w:val="BodyText"/>
      </w:pPr>
      <w:r>
        <w:t xml:space="preserve">Furthermore the aging population in boroughs like Queens has led to an increased demand for cataract surgery procedures. Laboratory data from surgical centers shows that modern phacoemulsification techniques employed by Ophthalmologist surgeons have resulted in faster recovery times and lower infection rates compared to historical standards however post-operative care adherence remains a challenge due language barriers and transportation issues among elderly immigrants.</w:t>
      </w:r>
    </w:p>
    <w:bookmarkEnd w:id="28"/>
    <w:bookmarkStart w:id="29" w:name="v.-emergency-response-protocols"/>
    <w:p>
      <w:pPr>
        <w:pStyle w:val="Heading3"/>
      </w:pPr>
      <w:r>
        <w:rPr>
          <w:bCs/>
          <w:b/>
        </w:rPr>
        <w:t xml:space="preserve">V. Emergency Response Protocols</w:t>
      </w:r>
    </w:p>
    <w:p>
      <w:pPr>
        <w:pStyle w:val="FirstParagraph"/>
      </w:pPr>
      <w:r>
        <w:t xml:space="preserve">Ophthalmologist offices in United States New York City often serve as first-line responders for ocular trauma given the high volume of pedestrian activity and construction projects in the city. The laboratory report outlines emergency protocols for chemical burns penetrating eye injuries and orbital fractures.</w:t>
      </w:r>
    </w:p>
    <w:p>
      <w:pPr>
        <w:pStyle w:val="BodyText"/>
      </w:pPr>
      <w:r>
        <w:t xml:space="preserve">Data indicates that immediate irrigation within fifteen minutes of chemical exposure drastically improves prognosis. Ophthalmologist teams are trained to coordinate with local emergency rooms ensuring seamless handoffs for patients requiring surgical intervention such as corneal transplantation or repair of retinal detachment.</w:t>
      </w:r>
    </w:p>
    <w:bookmarkEnd w:id="29"/>
    <w:bookmarkStart w:id="30" w:name="vi.-discussion-and-implications"/>
    <w:p>
      <w:pPr>
        <w:pStyle w:val="Heading3"/>
      </w:pPr>
      <w:r>
        <w:rPr>
          <w:bCs/>
          <w:b/>
        </w:rPr>
        <w:t xml:space="preserve">VI. Discussion and Implications</w:t>
      </w:r>
    </w:p>
    <w:p>
      <w:pPr>
        <w:pStyle w:val="FirstParagraph"/>
      </w:pPr>
      <w:r>
        <w:t xml:space="preserve">The integration of advanced diagnostic laboratory technology with clinical expertise defines the modern Ophthalmologist practice in United States New York City. The findings underscore that while technological advancements have improved diagnostic accuracy disparities in access to care persist among underserved communities.</w:t>
      </w:r>
    </w:p>
    <w:p>
      <w:pPr>
        <w:pStyle w:val="BodyText"/>
      </w:pPr>
      <w:r>
        <w:t xml:space="preserve">To address these gaps mobile Ophthalmologist clinics and tele-ophthalmology platforms are increasingly being deployed across United States New York City boroughs allowing remote consultation and triage. This hybrid model enhances the reach of specialist care enabling early identification of treatable conditions before they progress to irreversible blindness.</w:t>
      </w:r>
    </w:p>
    <w:p>
      <w:pPr>
        <w:pStyle w:val="BodyText"/>
      </w:pPr>
      <w:r>
        <w:t xml:space="preserve">Moreover continuous professional development remains essential for Ophthalmologist practitioners keeping abreast of emerging therapies such as anti-VEGF injections for wet AMD and gene therapy trials which are currently under investigation at major research hospitals like Mount Sinai and NewYork-Presbyterian both located in United States New York City.</w:t>
      </w:r>
    </w:p>
    <w:bookmarkEnd w:id="30"/>
    <w:bookmarkStart w:id="31" w:name="vii.-conclusion"/>
    <w:p>
      <w:pPr>
        <w:pStyle w:val="Heading3"/>
      </w:pPr>
      <w:r>
        <w:rPr>
          <w:bCs/>
          <w:b/>
        </w:rPr>
        <w:t xml:space="preserve">VII. Conclusion</w:t>
      </w:r>
    </w:p>
    <w:p>
      <w:pPr>
        <w:pStyle w:val="FirstParagraph"/>
      </w:pPr>
      <w:r>
        <w:t xml:space="preserve">In summary this laboratory report highlights the critical role that Ophthalmologist specialists play in maintaining public health within United States New York City. By leveraging sophisticated diagnostic tools rigorous clinical protocols and adaptive care models providers can effectively combat prevalent eye diseases ranging from glaucoma to diabetic retinopathy.</w:t>
      </w:r>
    </w:p>
    <w:p>
      <w:pPr>
        <w:pStyle w:val="BodyText"/>
      </w:pPr>
      <w:r>
        <w:t xml:space="preserve">The data presented confirms that adherence to standardized laboratory procedures and clinical guidelines ensures high-quality patient outcomes. Continued investment in infrastructure technology and community outreach will further strengthen the capacity of Ophthalmologist practices to serve the diverse needs of New York City residents safeguarding their vision for future generations.</w:t>
      </w:r>
    </w:p>
    <w:p>
      <w:pPr>
        <w:pStyle w:val="BodyText"/>
      </w:pPr>
      <w:r>
        <w:br/>
      </w:r>
      <w:r>
        <w:br/>
      </w:r>
    </w:p>
    <w:p>
      <w:pPr>
        <w:pStyle w:val="BodyText"/>
      </w:pPr>
      <w:r>
        <w:rPr>
          <w:iCs/>
          <w:i/>
        </w:rPr>
        <w:t xml:space="preserve">This document is for educational and informational purposes only. It serves as a laboratory report template highlighting standard practices associated with Ophthalmologist care in United States New York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2026-07-29T19:20:33Z</dcterms:created>
  <dcterms:modified xsi:type="dcterms:W3CDTF">2026-07-29T19:20:33Z</dcterms:modified>
</cp:coreProperties>
</file>

<file path=docProps/custom.xml><?xml version="1.0" encoding="utf-8"?>
<Properties xmlns="http://schemas.openxmlformats.org/officeDocument/2006/custom-properties" xmlns:vt="http://schemas.openxmlformats.org/officeDocument/2006/docPropsVTypes"/>
</file>