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Clinical</w:t>
      </w:r>
      <w:r>
        <w:t xml:space="preserve"> </w:t>
      </w:r>
      <w:r>
        <w:t xml:space="preserve">Lab</w:t>
      </w:r>
      <w:r>
        <w:t xml:space="preserve"> </w:t>
      </w:r>
      <w:r>
        <w:t xml:space="preserve">Report:</w:t>
      </w:r>
      <w:r>
        <w:t xml:space="preserve"> </w:t>
      </w:r>
      <w:r>
        <w:t xml:space="preserve">Ophthalmological</w:t>
      </w:r>
      <w:r>
        <w:t xml:space="preserve"> </w:t>
      </w:r>
      <w:r>
        <w:t xml:space="preserve">Assessment</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31" w:name="X4b503df28acd065c9598af1d6a38a4e686f21eb"/>
    <w:p>
      <w:pPr>
        <w:pStyle w:val="Heading1"/>
      </w:pPr>
      <w:r>
        <w:t xml:space="preserve">Clinical Lab Report: Ophthalmological Assessment in United States San Francisco</w:t>
      </w:r>
    </w:p>
    <w:p>
      <w:pPr>
        <w:pStyle w:val="FirstParagraph"/>
      </w:pPr>
      <w:r>
        <w:rPr>
          <w:bCs/>
          <w:b/>
        </w:rPr>
        <w:t xml:space="preserve">Date of Report:</w:t>
      </w:r>
      <w:r>
        <w:t xml:space="preserve"> </w:t>
      </w:r>
      <w:r>
        <w:t xml:space="preserve">October 24, 2023</w:t>
      </w:r>
      <w:r>
        <w:br/>
      </w:r>
      <w:r>
        <w:rPr>
          <w:bCs/>
          <w:b/>
        </w:rPr>
        <w:t xml:space="preserve">Patient ID:</w:t>
      </w:r>
      <w:r>
        <w:t xml:space="preserve"> </w:t>
      </w:r>
      <w:r>
        <w:t xml:space="preserve">SF-OPH-99482</w:t>
      </w:r>
      <w:r>
        <w:br/>
      </w:r>
      <w:r>
        <w:rPr>
          <w:bCs/>
          <w:b/>
        </w:rPr>
        <w:t xml:space="preserve">Clinic Location:</w:t>
      </w:r>
      <w:r>
        <w:t xml:space="preserve"> </w:t>
      </w:r>
      <w:r>
        <w:t xml:space="preserve">San Francisco, California, United States</w:t>
      </w:r>
    </w:p>
    <w:bookmarkStart w:id="20" w:name="executive-summary-and-introduction"/>
    <w:p>
      <w:pPr>
        <w:pStyle w:val="Heading2"/>
      </w:pPr>
      <w:r>
        <w:t xml:space="preserve">1. Executive Summary and Introduction</w:t>
      </w:r>
    </w:p>
    <w:p>
      <w:pPr>
        <w:pStyle w:val="FirstParagraph"/>
      </w:pPr>
      <w:r>
        <w:t xml:space="preserve">This document serves as a comprehensive clinical laboratory report detailing the ophthalmological evaluation conducted for Patient ID SF-OPH-99482. The primary objective of this assessment was to diagnose and monitor progressive visual acuity degradation suspected to be related to environmental factors and age-related degeneration. As a prominent medical hub,</w:t>
      </w:r>
      <w:r>
        <w:t xml:space="preserve"> </w:t>
      </w:r>
      <w:r>
        <w:rPr>
          <w:bCs/>
          <w:b/>
        </w:rPr>
        <w:t xml:space="preserve">United States San Francisco</w:t>
      </w:r>
      <w:r>
        <w:t xml:space="preserve"> </w:t>
      </w:r>
      <w:r>
        <w:t xml:space="preserve">presents unique epidemiological challenges regarding eye health due to high UV index exposure, particulate air quality fluctuations, and an aging demographic. Consequently, this</w:t>
      </w:r>
      <w:r>
        <w:t xml:space="preserve"> </w:t>
      </w:r>
      <w:r>
        <w:t xml:space="preserve">Ophthalmologist</w:t>
      </w:r>
      <w:r>
        <w:t xml:space="preserve">-led investigation adheres strictly to the rigorous standards mandated by the American Academy of Ophthalmology (AAO) and local state regulations within California.</w:t>
      </w:r>
    </w:p>
    <w:p>
      <w:pPr>
        <w:pStyle w:val="BodyText"/>
      </w:pPr>
      <w:r>
        <w:t xml:space="preserve">The context of this report is critical because the specific geographic location—</w:t>
      </w:r>
      <w:r>
        <w:rPr>
          <w:bCs/>
          <w:b/>
        </w:rPr>
        <w:t xml:space="preserve">United States San Francisco</w:t>
      </w:r>
      <w:r>
        <w:t xml:space="preserve">—influences not only environmental risk factors but also the technological resources available for diagnosis. The integration of advanced diagnostic imaging with clinical examination allows for a holistic view of ocular health, ensuring that any pathological findings are accurately recorded and addressed through evidence-based treatment protocols.</w:t>
      </w:r>
    </w:p>
    <w:bookmarkEnd w:id="20"/>
    <w:bookmarkStart w:id="21" w:name="X191a67e918d9087ce74f8b72ef568cd7ba97ca1"/>
    <w:p>
      <w:pPr>
        <w:pStyle w:val="Heading2"/>
      </w:pPr>
      <w:r>
        <w:t xml:space="preserve">2. Patient History and Clinical Presentation</w:t>
      </w:r>
    </w:p>
    <w:p>
      <w:pPr>
        <w:pStyle w:val="FirstParagraph"/>
      </w:pPr>
      <w:r>
        <w:t xml:space="preserve">The patient is a 64-year-old male resident of San Francisco who presented with complaints of intermittent blurry vision, difficulty with night driving, and increased sensitivity to glare from streetlights. These symptoms have been progressive over the last eighteen months. The patient has a significant history of hypertension and type 2 diabetes mellitus, both of which are known contributors to ocular morbidity.</w:t>
      </w:r>
    </w:p>
    <w:p>
      <w:pPr>
        <w:pStyle w:val="BodyText"/>
      </w:pPr>
      <w:r>
        <w:t xml:space="preserve">Given the location in</w:t>
      </w:r>
      <w:r>
        <w:t xml:space="preserve"> </w:t>
      </w:r>
      <w:r>
        <w:rPr>
          <w:bCs/>
          <w:b/>
        </w:rPr>
        <w:t xml:space="preserve">United States San Francisco</w:t>
      </w:r>
      <w:r>
        <w:t xml:space="preserve">, lifestyle factors such as prolonged outdoor activity and exposure to varying light conditions were considered during the initial consultation. The patient reported that his symptoms exacerbate during foggy periods or when looking directly at bright sunlight reflected off the bay or surrounding architecture. This history prompted a full-scale diagnostic workup to rule out diabetic retinopathy, cataracts, and age-related macular degeneration (AMD).</w:t>
      </w:r>
    </w:p>
    <w:bookmarkEnd w:id="21"/>
    <w:bookmarkStart w:id="22" w:name="methodology-and-laboratory-procedures"/>
    <w:p>
      <w:pPr>
        <w:pStyle w:val="Heading2"/>
      </w:pPr>
      <w:r>
        <w:t xml:space="preserve">3. Methodology and Laboratory Procedures</w:t>
      </w:r>
    </w:p>
    <w:p>
      <w:pPr>
        <w:pStyle w:val="FirstParagraph"/>
      </w:pPr>
      <w:r>
        <w:t xml:space="preserve">The evaluation was conducted by a board-certified</w:t>
      </w:r>
      <w:r>
        <w:t xml:space="preserve"> </w:t>
      </w:r>
      <w:r>
        <w:t xml:space="preserve">Ophthalmologist</w:t>
      </w:r>
      <w:r>
        <w:t xml:space="preserve"> </w:t>
      </w:r>
      <w:r>
        <w:t xml:space="preserve">using a suite of diagnostic tools standard in modern ophthalmic practice. The following procedures were performed:</w:t>
      </w:r>
    </w:p>
    <w:p>
      <w:pPr>
        <w:numPr>
          <w:ilvl w:val="0"/>
          <w:numId w:val="1001"/>
        </w:numPr>
        <w:pStyle w:val="Compact"/>
      </w:pPr>
      <w:r>
        <w:rPr>
          <w:bCs/>
          <w:b/>
        </w:rPr>
        <w:t xml:space="preserve">Best Corrected Visual Acuity (BCVA):</w:t>
      </w:r>
      <w:r>
        <w:t xml:space="preserve"> </w:t>
      </w:r>
      <w:r>
        <w:t xml:space="preserve">Assessed using Snellen chart at distances of 20 feet and 16 inches.</w:t>
      </w:r>
    </w:p>
    <w:p>
      <w:pPr>
        <w:numPr>
          <w:ilvl w:val="0"/>
          <w:numId w:val="1001"/>
        </w:numPr>
        <w:pStyle w:val="Compact"/>
      </w:pPr>
      <w:r>
        <w:rPr>
          <w:bCs/>
          <w:b/>
        </w:rPr>
        <w:t xml:space="preserve">Dilated Fundus Examination:</w:t>
      </w:r>
      <w:r>
        <w:t xml:space="preserve"> </w:t>
      </w:r>
      <w:r>
        <w:t xml:space="preserve">Utilizing tropicamide and phenylephrine drops to dilate the pupils for a comprehensive view of the retina, optic disc, and macula.</w:t>
      </w:r>
    </w:p>
    <w:p>
      <w:pPr>
        <w:numPr>
          <w:ilvl w:val="0"/>
          <w:numId w:val="1001"/>
        </w:numPr>
        <w:pStyle w:val="Compact"/>
      </w:pPr>
      <w:r>
        <w:t xml:space="preserve">OCT (Optical Coherence Tomography): Non-invasive imaging technology used to capture micrometer-resolution, three-dimensional images from optical backscattered light. This is crucial for detecting subtle changes in the retinal layers often missed during standard exams.</w:t>
      </w:r>
    </w:p>
    <w:p>
      <w:pPr>
        <w:numPr>
          <w:ilvl w:val="0"/>
          <w:numId w:val="1001"/>
        </w:numPr>
        <w:pStyle w:val="Compact"/>
      </w:pPr>
      <w:r>
        <w:rPr>
          <w:bCs/>
          <w:b/>
        </w:rPr>
        <w:t xml:space="preserve">Goldmann Applanation Tonometry:</w:t>
      </w:r>
      <w:r>
        <w:t xml:space="preserve"> </w:t>
      </w:r>
      <w:r>
        <w:t xml:space="preserve">Used to measure intraocular pressure (IOP) to screen for glaucoma.</w:t>
      </w:r>
    </w:p>
    <w:p>
      <w:pPr>
        <w:numPr>
          <w:ilvl w:val="0"/>
          <w:numId w:val="1001"/>
        </w:numPr>
        <w:pStyle w:val="Compact"/>
      </w:pPr>
      <w:r>
        <w:rPr>
          <w:bCs/>
          <w:b/>
        </w:rPr>
        <w:t xml:space="preserve">Fundus Photography:</w:t>
      </w:r>
      <w:r>
        <w:t xml:space="preserve"> </w:t>
      </w:r>
      <w:r>
        <w:t xml:space="preserve">High-resolution imaging of the back of the eye to document baseline conditions and monitor progression over time.</w:t>
      </w:r>
    </w:p>
    <w:p>
      <w:pPr>
        <w:pStyle w:val="FirstParagraph"/>
      </w:pPr>
      <w:r>
        <w:t xml:space="preserve">All equipment used in this report meets or exceeds federal safety standards. The clinical environment was sterilized according to CDC guidelines, ensuring patient safety while conducting these invasive procedures such as tonometry which involves contact with the cornea.</w:t>
      </w:r>
    </w:p>
    <w:bookmarkEnd w:id="22"/>
    <w:bookmarkStart w:id="27" w:name="results-and-diagnostic-findings"/>
    <w:p>
      <w:pPr>
        <w:pStyle w:val="Heading2"/>
      </w:pPr>
      <w:r>
        <w:t xml:space="preserve">4. Results and Diagnostic Findings</w:t>
      </w:r>
    </w:p>
    <w:p>
      <w:pPr>
        <w:pStyle w:val="FirstParagraph"/>
      </w:pPr>
      <w:r>
        <w:t xml:space="preserve">The diagnostic results obtained during this ophthalmological assessment revealed several key findings that require immediate clinical attention:</w:t>
      </w:r>
    </w:p>
    <w:bookmarkStart w:id="23" w:name="visual-acuity"/>
    <w:p>
      <w:pPr>
        <w:pStyle w:val="Heading3"/>
      </w:pPr>
      <w:r>
        <w:t xml:space="preserve">4.1 Visual Acuity</w:t>
      </w:r>
    </w:p>
    <w:p>
      <w:pPr>
        <w:pStyle w:val="FirstParagraph"/>
      </w:pPr>
      <w:r>
        <w:t xml:space="preserve">The patient’s uncorrected visual acuity was 20/80 in the right eye and 20/100 in the left eye. With corrective lenses, vision improved to 20/40 and 20/56, respectively. This reduction indicates a significant interference with daily activities, such as reading street signs or recognizing faces at a distance.</w:t>
      </w:r>
    </w:p>
    <w:bookmarkEnd w:id="23"/>
    <w:bookmarkStart w:id="24" w:name="intraocular-pressure"/>
    <w:p>
      <w:pPr>
        <w:pStyle w:val="Heading3"/>
      </w:pPr>
      <w:r>
        <w:t xml:space="preserve">4.2 Intraocular Pressure</w:t>
      </w:r>
    </w:p>
    <w:p>
      <w:pPr>
        <w:pStyle w:val="FirstParagraph"/>
      </w:pPr>
      <w:r>
        <w:t xml:space="preserve">Tonometry readings showed an IOP of 18 mmHg in the right eye and 19 mmHg in the left eye. While these values are within the normal range (typically 10-21 mmHg), they are on the higher end of normal, warranting continued monitoring to rule out ocular hypertension or early-stage glaucoma.</w:t>
      </w:r>
    </w:p>
    <w:bookmarkEnd w:id="24"/>
    <w:bookmarkStart w:id="25" w:name="retinal-examination-and-oct-findings"/>
    <w:p>
      <w:pPr>
        <w:pStyle w:val="Heading3"/>
      </w:pPr>
      <w:r>
        <w:t xml:space="preserve">4.3 Retinal Examination and OCT Findings</w:t>
      </w:r>
    </w:p>
    <w:p>
      <w:pPr>
        <w:pStyle w:val="FirstParagraph"/>
      </w:pPr>
      <w:r>
        <w:t xml:space="preserve">The most critical findings were observed in the retina. The dilated examination revealed mild non-proliferative diabetic retinopathy with microaneurysms present in both eyes. Furthermore, the OCT scans indicated early signs of dry age-related macular degeneration (AMD), characterized by drusen deposits beneath the retina.</w:t>
      </w:r>
    </w:p>
    <w:p>
      <w:pPr>
        <w:pStyle w:val="BodyText"/>
      </w:pPr>
      <w:r>
        <w:t xml:space="preserve">The presence of drusen is a hallmark of AMD, a condition increasingly prevalent in populations over 60. The geographic location of</w:t>
      </w:r>
      <w:r>
        <w:t xml:space="preserve"> </w:t>
      </w:r>
      <w:r>
        <w:rPr>
          <w:bCs/>
          <w:b/>
        </w:rPr>
        <w:t xml:space="preserve">United States San Francisco</w:t>
      </w:r>
      <w:r>
        <w:t xml:space="preserve">, with its high levels of sunlight and UV exposure historically linked to oxidative stress on ocular tissues, may have contributed to the accelerated progression of these degenerative changes.</w:t>
      </w:r>
    </w:p>
    <w:bookmarkEnd w:id="25"/>
    <w:bookmarkStart w:id="26" w:name="lens-assessment"/>
    <w:p>
      <w:pPr>
        <w:pStyle w:val="Heading3"/>
      </w:pPr>
      <w:r>
        <w:t xml:space="preserve">4.4 Lens Assessment</w:t>
      </w:r>
    </w:p>
    <w:p>
      <w:pPr>
        <w:pStyle w:val="FirstParagraph"/>
      </w:pPr>
      <w:r>
        <w:t xml:space="preserve">The Ophthalmologist noted early nuclear sclerosis in the lens of both eyes, consistent with the development of cataracts. This clouding explains the patient’s complaint regarding glare and night vision difficulties.</w:t>
      </w:r>
    </w:p>
    <w:bookmarkEnd w:id="26"/>
    <w:bookmarkEnd w:id="27"/>
    <w:bookmarkStart w:id="28" w:name="discussion-and-analysis"/>
    <w:p>
      <w:pPr>
        <w:pStyle w:val="Heading2"/>
      </w:pPr>
      <w:r>
        <w:t xml:space="preserve">5. Discussion and Analysis</w:t>
      </w:r>
    </w:p>
    <w:p>
      <w:pPr>
        <w:pStyle w:val="FirstParagraph"/>
      </w:pPr>
      <w:r>
        <w:t xml:space="preserve">The combination of diabetic retinopathy, early AMD, and developing cataracts presents a complex clinical picture that requires multifaceted management. The role of the</w:t>
      </w:r>
      <w:r>
        <w:t xml:space="preserve"> </w:t>
      </w:r>
      <w:r>
        <w:t xml:space="preserve">Ophthalmologist</w:t>
      </w:r>
      <w:r>
        <w:t xml:space="preserve"> </w:t>
      </w:r>
      <w:r>
        <w:t xml:space="preserve">here is not merely diagnostic but also preventive. By identifying these conditions at an early stage, we can implement therapies to slow progression.</w:t>
      </w:r>
    </w:p>
    <w:p>
      <w:pPr>
        <w:pStyle w:val="BodyText"/>
      </w:pPr>
      <w:r>
        <w:t xml:space="preserve">The specific context of practicing in</w:t>
      </w:r>
      <w:r>
        <w:t xml:space="preserve"> </w:t>
      </w:r>
      <w:r>
        <w:rPr>
          <w:bCs/>
          <w:b/>
        </w:rPr>
        <w:t xml:space="preserve">United States San Francisco</w:t>
      </w:r>
      <w:r>
        <w:t xml:space="preserve"> </w:t>
      </w:r>
      <w:r>
        <w:t xml:space="preserve">adds a layer of complexity regarding patient education. Residents are often exposed to high UV indices even on overcast days due to the unique atmospheric conditions of the West Coast. Therefore, counseling on UV-protective eyewear is paramount. Additionally, the local healthcare system in San Francisco offers robust access to advanced treatments such as intravitreal injections for wet AMD (should progression occur) and laser therapy for diabetic retinopathy. The report emphasizes that leveraging these regional resources is essential for optimal patient outcomes.</w:t>
      </w:r>
    </w:p>
    <w:p>
      <w:pPr>
        <w:pStyle w:val="BodyText"/>
      </w:pPr>
      <w:r>
        <w:t xml:space="preserve">It is also important to note the psychosocial impact of vision loss in an urban environment like San Francisco. Dependence on public transportation and walking due to traffic congestion means that clear vision is critical for independence and safety. The decline in visual acuity reported by this patient poses a direct risk to his mobility and quality of life.</w:t>
      </w:r>
    </w:p>
    <w:bookmarkEnd w:id="28"/>
    <w:bookmarkStart w:id="29" w:name="conclusion"/>
    <w:p>
      <w:pPr>
        <w:pStyle w:val="Heading2"/>
      </w:pPr>
      <w:r>
        <w:t xml:space="preserve">6. Conclusion</w:t>
      </w:r>
    </w:p>
    <w:p>
      <w:pPr>
        <w:pStyle w:val="FirstParagraph"/>
      </w:pPr>
      <w:r>
        <w:t xml:space="preserve">In conclusion, this lab report confirms the presence of multiple ocular pathologies including diabetic retinopathy, age-related macular degeneration, and incipient cataracts. The diagnosis was established through a rigorous examination process overseen by a qualified Ophthalmologist. The findings underscore the importance of regular eye screenings in populations with systemic health issues like diabetes.</w:t>
      </w:r>
    </w:p>
    <w:p>
      <w:pPr>
        <w:pStyle w:val="BodyText"/>
      </w:pPr>
      <w:r>
        <w:t xml:space="preserve">The specific demographic and environmental factors associated with living in</w:t>
      </w:r>
      <w:r>
        <w:t xml:space="preserve"> </w:t>
      </w:r>
      <w:r>
        <w:rPr>
          <w:bCs/>
          <w:b/>
        </w:rPr>
        <w:t xml:space="preserve">United States San Francisco</w:t>
      </w:r>
      <w:r>
        <w:t xml:space="preserve">, particularly regarding UV exposure and healthcare accessibility, have been integrated into the management plan. Continued monitoring is essential to prevent further deterioration of vision.</w:t>
      </w:r>
    </w:p>
    <w:bookmarkEnd w:id="29"/>
    <w:bookmarkStart w:id="30" w:name="recommendations-and-treatment-plan"/>
    <w:p>
      <w:pPr>
        <w:pStyle w:val="Heading2"/>
      </w:pPr>
      <w:r>
        <w:t xml:space="preserve">7. Recommendations and Treatment Plan</w:t>
      </w:r>
    </w:p>
    <w:p>
      <w:pPr>
        <w:pStyle w:val="FirstParagraph"/>
      </w:pPr>
      <w:r>
        <w:t xml:space="preserve">To address the diagnosed conditions, the following steps are recommended:</w:t>
      </w:r>
    </w:p>
    <w:p>
      <w:pPr>
        <w:numPr>
          <w:ilvl w:val="0"/>
          <w:numId w:val="1002"/>
        </w:numPr>
        <w:pStyle w:val="Compact"/>
      </w:pPr>
      <w:r>
        <w:rPr>
          <w:bCs/>
          <w:b/>
        </w:rPr>
        <w:t xml:space="preserve">Glycemic Control:</w:t>
      </w:r>
      <w:r>
        <w:t xml:space="preserve"> </w:t>
      </w:r>
      <w:r>
        <w:t xml:space="preserve">Critical for managing diabetic retinopathy.</w:t>
      </w:r>
      <w:r>
        <w:t xml:space="preserve"> </w:t>
      </w:r>
      <w:r>
        <w:t xml:space="preserve">The patient must work closely with their primary care physician to maintain HbA1c levels below 7%.</w:t>
      </w:r>
    </w:p>
    <w:p>
      <w:pPr>
        <w:numPr>
          <w:ilvl w:val="0"/>
          <w:numId w:val="1002"/>
        </w:numPr>
        <w:pStyle w:val="Compact"/>
      </w:pPr>
      <w:r>
        <w:rPr>
          <w:bCs/>
          <w:b/>
        </w:rPr>
        <w:t xml:space="preserve">Dietary Supplements:</w:t>
      </w:r>
      <w:r>
        <w:t xml:space="preserve"> </w:t>
      </w:r>
      <w:r>
        <w:t xml:space="preserve">Initiation of the AREDS2 formulation (Antioxidants/Lutein/Zeaxanthin) to potentially slow the progression of AMD.</w:t>
      </w:r>
    </w:p>
    <w:p>
      <w:pPr>
        <w:numPr>
          <w:ilvl w:val="0"/>
          <w:numId w:val="1002"/>
        </w:numPr>
        <w:pStyle w:val="Compact"/>
      </w:pPr>
      <w:r>
        <w:rPr>
          <w:bCs/>
          <w:b/>
        </w:rPr>
        <w:t xml:space="preserve">Sun Protection:</w:t>
      </w:r>
      <w:r>
        <w:t xml:space="preserve"> </w:t>
      </w:r>
      <w:r>
        <w:t xml:space="preserve">Strict use of wrap-around sunglasses with 100% UV protection when outdoors in San Francisco, regardless of cloud cover.</w:t>
      </w:r>
    </w:p>
    <w:p>
      <w:pPr>
        <w:numPr>
          <w:ilvl w:val="0"/>
          <w:numId w:val="1002"/>
        </w:numPr>
        <w:pStyle w:val="Compact"/>
      </w:pPr>
      <w:r>
        <w:rPr>
          <w:bCs/>
          <w:b/>
        </w:rPr>
        <w:t xml:space="preserve">Surgical Consultation:</w:t>
      </w:r>
      <w:r>
        <w:t xml:space="preserve"> </w:t>
      </w:r>
      <w:r>
        <w:t xml:space="preserve">Referral for cataract surgery evaluation once the patient reports that visual impairment significantly impacts daily function. Current lens opacities are not yet at the threshold for immediate surgery.</w:t>
      </w:r>
    </w:p>
    <w:p>
      <w:pPr>
        <w:numPr>
          <w:ilvl w:val="0"/>
          <w:numId w:val="1002"/>
        </w:numPr>
        <w:pStyle w:val="Compact"/>
      </w:pPr>
      <w:r>
        <w:rPr>
          <w:bCs/>
          <w:b/>
        </w:rPr>
        <w:t xml:space="preserve">Follow-up:</w:t>
      </w:r>
      <w:r>
        <w:t xml:space="preserve"> </w:t>
      </w:r>
      <w:r>
        <w:t xml:space="preserve">A follow-up appointment with the Ophthalmologist is scheduled in 6 months.</w:t>
      </w:r>
      <w:r>
        <w:t xml:space="preserve"> </w:t>
      </w:r>
      <w:r>
        <w:t xml:space="preserve">This interval allows for monitoring of retinal changes and intraocular pressure fluctuations. If any sudden loss of vision, flashes, or floaters occur, the patient is instructed to seek emergency care immediately.</w:t>
      </w:r>
    </w:p>
    <w:p>
      <w:pPr>
        <w:pStyle w:val="FirstParagraph"/>
      </w:pPr>
      <w:r>
        <w:t xml:space="preserve">This report has been prepared in accordance with all clinical guidelines applicable to ophthalmic practices in the United States. The information contained herein is confidential and intended solely for the use of the healthcare professional responsible for this patient’s care.</w:t>
      </w:r>
    </w:p>
    <w:p>
      <w:r>
        <w:pict>
          <v:rect style="width:0;height:1.5pt" o:hralign="center" o:hrstd="t" o:hr="t"/>
        </w:pict>
      </w:r>
    </w:p>
    <w:p>
      <w:pPr>
        <w:pStyle w:val="FirstParagraph"/>
      </w:pPr>
      <w:r>
        <w:rPr>
          <w:bCs/>
          <w:b/>
        </w:rPr>
        <w:t xml:space="preserve">Sign-off:</w:t>
      </w:r>
      <w:r>
        <w:br/>
      </w:r>
      <w:r>
        <w:t xml:space="preserve">John Doe, M.D., F.A.C.S.</w:t>
      </w:r>
      <w:r>
        <w:br/>
      </w:r>
      <w:r>
        <w:t xml:space="preserve">Board Certified Ophthalmologist</w:t>
      </w:r>
      <w:r>
        <w:br/>
      </w:r>
      <w:r>
        <w:t xml:space="preserve">San Francisco Eye Institute</w:t>
      </w:r>
      <w:r>
        <w:br/>
      </w:r>
      <w:r>
        <w:t xml:space="preserve">United States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Clinical Lab Report: Ophthalmological Assessment in United States San Francisco</dc:title>
  <dc:creator/>
  <dc:language>en</dc:language>
  <cp:keywords/>
  <dcterms:created xsi:type="dcterms:W3CDTF">2026-07-29T17:36:50Z</dcterms:created>
  <dcterms:modified xsi:type="dcterms:W3CDTF">2026-07-29T17:36:50Z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