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Laboratory</w:t>
      </w:r>
      <w:r>
        <w:t xml:space="preserve"> </w:t>
      </w:r>
      <w:r>
        <w:t xml:space="preserve">Report:</w:t>
      </w:r>
      <w:r>
        <w:t xml:space="preserve"> </w:t>
      </w:r>
      <w:r>
        <w:t xml:space="preserve">Optometric</w:t>
      </w:r>
      <w:r>
        <w:t xml:space="preserve"> </w:t>
      </w:r>
      <w:r>
        <w:t xml:space="preserve">Assessment</w:t>
      </w:r>
      <w:r>
        <w:t xml:space="preserve"> </w:t>
      </w:r>
      <w:r>
        <w:t xml:space="preserve">in</w:t>
      </w:r>
      <w:r>
        <w:t xml:space="preserve"> </w:t>
      </w:r>
      <w:r>
        <w:t xml:space="preserve">Argentina</w:t>
      </w:r>
    </w:p>
    <w:bookmarkStart w:id="20" w:name="X748a9bb57995787a7a7883897118f42dfb7905e"/>
    <w:p>
      <w:pPr>
        <w:pStyle w:val="Heading1"/>
      </w:pPr>
      <w:r>
        <w:t xml:space="preserve">Clinical Laboratory Report: Comprehensive Optometric Evaluation</w:t>
      </w:r>
    </w:p>
    <w:p>
      <w:pPr>
        <w:pStyle w:val="FirstParagraph"/>
      </w:pPr>
      <w:r>
        <w:rPr>
          <w:bCs/>
          <w:b/>
        </w:rPr>
        <w:t xml:space="preserve">Jurisdiction:</w:t>
      </w:r>
      <w:r>
        <w:t xml:space="preserve"> </w:t>
      </w:r>
      <w:r>
        <w:t xml:space="preserve">Argentina, Buenos Aires Province &amp; Autonomous City of Buenos Aires (CABA)</w:t>
      </w:r>
      <w:r>
        <w:br/>
      </w:r>
      <w:r>
        <w:rPr>
          <w:bCs/>
          <w:b/>
        </w:rPr>
        <w:t xml:space="preserve">Date of Service:</w:t>
      </w:r>
      <w:r>
        <w:t xml:space="preserve"> </w:t>
      </w:r>
      <w:r>
        <w:t xml:space="preserve">October 24, 2023</w:t>
      </w:r>
      <w:r>
        <w:br/>
      </w:r>
      <w:r>
        <w:rPr>
          <w:bCs/>
          <w:b/>
        </w:rPr>
        <w:t xml:space="preserve">Patient ID:</w:t>
      </w:r>
      <w:r>
        <w:t xml:space="preserve"> </w:t>
      </w:r>
      <w:r>
        <w:t xml:space="preserve">ARG-BA-98765</w:t>
      </w:r>
      <w:r>
        <w:br/>
      </w:r>
      <w:r>
        <w:rPr>
          <w:bCs/>
          <w:b/>
        </w:rPr>
        <w:t xml:space="preserve">Reference Number:</w:t>
      </w:r>
      <w:r>
        <w:t xml:space="preserve"> </w:t>
      </w:r>
      <w:r>
        <w:t xml:space="preserve">LAB-OPT-AR-BUENOSAIRES-2023</w:t>
      </w:r>
    </w:p>
    <w:bookmarkEnd w:id="20"/>
    <w:bookmarkStart w:id="22" w:name="introduction"/>
    <w:bookmarkStart w:id="21" w:name="introduction-and-purpose"/>
    <w:p>
      <w:pPr>
        <w:pStyle w:val="Heading2"/>
      </w:pPr>
      <w:r>
        <w:t xml:space="preserve">📝 Introduction and Purpose</w:t>
      </w:r>
    </w:p>
    <w:p>
      <w:pPr>
        <w:pStyle w:val="FirstParagraph"/>
      </w:pPr>
      <w:r>
        <w:t xml:space="preserve">This document serves as a formalized laboratory report detailing the procedures, findings, and clinical recommendations resulting from an advanced optometric assessment conducted within the specific healthcare context of Argentina Buenos Aires. The primary objective of this laboratory session was to evaluate ocular health, visual function, and refractive status in accordance with national standards set forth by local professional bodies in Buenos Aires.</w:t>
      </w:r>
    </w:p>
    <w:p>
      <w:pPr>
        <w:pStyle w:val="BodyText"/>
      </w:pPr>
      <w:r>
        <w:t xml:space="preserve">In the bustling urban environment of Argentina, particularly within the capital city and its surrounding metropolitan area known collectively as Argentina Buenos Aires, visual acuity plays a critical role in both academic performance and professional efficacy. Consequently, this report aims to provide a meticulous account of the diagnostic processes employed by our licensed Optometrist to ensure that patients receive care that is not only scientifically rigorous but also culturally and geographically appropriate for residents of this vibrant Argentine region.</w:t>
      </w:r>
    </w:p>
    <w:bookmarkEnd w:id="21"/>
    <w:bookmarkEnd w:id="22"/>
    <w:bookmarkStart w:id="27" w:name="methodology"/>
    <w:bookmarkStart w:id="26" w:name="methodology-and-instrumentation"/>
    <w:p>
      <w:pPr>
        <w:pStyle w:val="Heading2"/>
      </w:pPr>
      <w:r>
        <w:t xml:space="preserve">🔬 Methodology and Instrumentation</w:t>
      </w:r>
    </w:p>
    <w:p>
      <w:pPr>
        <w:pStyle w:val="FirstParagraph"/>
      </w:pPr>
      <w:r>
        <w:t xml:space="preserve">The laboratory protocols utilized in this report adhere strictly to the guidelines established by the Argentine Society of Optometry (SOA). The assessment was conducted using state-of-the-art diagnostic equipment commonly found in major clinical centers across Argentina Buenos Aires. The following methodologies were employed:</w:t>
      </w:r>
    </w:p>
    <w:bookmarkStart w:id="23" w:name="subjective-refraction-analysis"/>
    <w:p>
      <w:pPr>
        <w:pStyle w:val="Heading3"/>
      </w:pPr>
      <w:r>
        <w:t xml:space="preserve">👾️ Subjective Refraction Analysis</w:t>
      </w:r>
    </w:p>
    <w:p>
      <w:pPr>
        <w:pStyle w:val="FirstParagraph"/>
      </w:pPr>
      <w:r>
        <w:t xml:space="preserve">The Optometrist began with a standard subjective refraction process to determine the precise lens power required for optimal vision. This involved the use of a phoropter and trial frame set. Given the high prevalence of digital eye strain in Argentina Buenos Aires due to increased screen time among professionals and students, special attention was paid to intermediate distance clarity.</w:t>
      </w:r>
    </w:p>
    <w:bookmarkEnd w:id="23"/>
    <w:bookmarkStart w:id="24" w:name="objective-retinoscopy"/>
    <w:p>
      <w:pPr>
        <w:pStyle w:val="Heading3"/>
      </w:pPr>
      <w:r>
        <w:t xml:space="preserve">👨‍🔬 Objective Retinoscopy</w:t>
      </w:r>
    </w:p>
    <w:p>
      <w:pPr>
        <w:pStyle w:val="FirstParagraph"/>
      </w:pPr>
      <w:r>
        <w:t xml:space="preserve">To verify subjective findings, streak retinoscopy was performed under cycloplegic conditions where necessary. This step is crucial in pediatric and adolescent populations, which represent a significant demographic in the healthcare systems of Argentina Buenos Aires. The Optometrist ensured that accommodation was fully relaxed to obtain accurate baseline data.</w:t>
      </w:r>
    </w:p>
    <w:bookmarkEnd w:id="24"/>
    <w:bookmarkStart w:id="25" w:name="ocular-health-examination"/>
    <w:p>
      <w:pPr>
        <w:pStyle w:val="Heading3"/>
      </w:pPr>
      <w:r>
        <w:t xml:space="preserve">👺 Ocular Health Examination</w:t>
      </w:r>
    </w:p>
    <w:p>
      <w:pPr>
        <w:pStyle w:val="FirstParagraph"/>
      </w:pPr>
      <w:r>
        <w:t xml:space="preserve">A comprehensive slit-lamp biomicroscopy examination was conducted to assess the anterior segment of the eye. This included evaluation of the cornea, lens, and conjunctiva. Special care was taken to detect signs of environmental irritants common in urban settings of Argentina Buenos Aires, such as particulate matter or pollen variations specific to the Pampas region climate.</w:t>
      </w:r>
    </w:p>
    <w:bookmarkEnd w:id="25"/>
    <w:bookmarkEnd w:id="26"/>
    <w:bookmarkEnd w:id="27"/>
    <w:bookmarkStart w:id="29" w:name="clinical-findings"/>
    <w:bookmarkStart w:id="28" w:name="clinical-findings-and-laboratory-data"/>
    <w:p>
      <w:pPr>
        <w:pStyle w:val="Heading2"/>
      </w:pPr>
      <w:r>
        <w:t xml:space="preserve">📈 Clinical Findings and Laboratory Data</w:t>
      </w:r>
    </w:p>
    <w:p>
      <w:pPr>
        <w:pStyle w:val="FirstParagraph"/>
      </w:pPr>
      <w:r>
        <w:t xml:space="preserve">The following data points were recorded during the laboratory session. All measurements are presented in standard metric units (diopters for refraction, millimeters for axial length) consistent with international optometric standards adopted in Argentina.</w:t>
      </w:r>
    </w:p>
    <w:p>
      <w:pPr>
        <w:pStyle w:val="BodyText"/>
      </w:pPr>
      <w:r>
        <w:t xml:space="preserve">Metric</w:t>
      </w:r>
    </w:p>
    <w:bookmarkEnd w:id="28"/>
    <w:bookmarkEnd w:id="29"/>
    <w:p>
      <w:pPr>
        <w:pStyle w:val="BodyText"/>
      </w:pPr>
      <w:r>
        <w:t xml:space="preserve">Right Eye (OD)</w:t>
      </w:r>
    </w:p>
    <w:p>
      <w:pPr>
        <w:pStyle w:val="BodyText"/>
      </w:pPr>
      <w:r>
        <w:t xml:space="preserve">Left Eye (OS)</w:t>
      </w:r>
    </w:p>
    <w:p>
      <w:pPr>
        <w:pStyle w:val="BodyText"/>
      </w:pPr>
      <w:r>
        <w:t xml:space="preserve">&gt;;tr;&gt;;&gt;</w:t>
      </w:r>
    </w:p>
    <w:p>
      <w:pPr>
        <w:pStyle w:val="BodyText"/>
      </w:pPr>
      <w:r>
        <w:t xml:space="preserve">Spherical Power (D);td&gt;;&gt;</w:t>
      </w:r>
    </w:p>
    <w:p>
      <w:pPr>
        <w:pStyle w:val="BodyText"/>
      </w:pPr>
      <w:r>
        <w:t xml:space="preserve">-2.50 D</w:t>
      </w:r>
    </w:p>
    <w:p>
      <w:pPr>
        <w:pStyle w:val="BodyText"/>
      </w:pPr>
      <w:r>
        <w:t xml:space="preserve">-3.75 D;</w:t>
      </w:r>
    </w:p>
    <w:p>
      <w:pPr>
        <w:pStyle w:val="BodyText"/>
      </w:pPr>
      <w:r>
        <w:t xml:space="preserve">&lt;tr&gt;&lt;/&gt;;</w:t>
      </w:r>
      <w:r>
        <w:br/>
      </w:r>
      <w:r>
        <w:t xml:space="preserve">📦 </w:t>
      </w:r>
    </w:p>
    <w:p>
      <w:pPr>
        <w:pStyle w:val="BodyText"/>
      </w:pPr>
      <w:r>
        <w:t xml:space="preserve">Cylindrical Power (D)</w:t>
      </w:r>
    </w:p>
    <w:p>
      <w:pPr>
        <w:pStyle w:val="BodyText"/>
      </w:pPr>
      <w:r>
        <w:t xml:space="preserve">Right Eye (OD)</w:t>
      </w:r>
    </w:p>
    <w:p>
      <w:pPr>
        <w:pStyle w:val="BodyText"/>
      </w:pPr>
      <w:r>
        <w:t xml:space="preserve">&gt;;&gt;</w:t>
      </w:r>
    </w:p>
    <w:p>
      <w:pPr>
        <w:pStyle w:val="BodyText"/>
      </w:pPr>
      <w:r>
        <w:t xml:space="preserve">-0.75 D</w:t>
      </w:r>
    </w:p>
    <w:p>
      <w:pPr>
        <w:pStyle w:val="BodyText"/>
      </w:pPr>
      <w:r>
        <w:t xml:space="preserve">-1.25 D;</w:t>
      </w:r>
    </w:p>
    <w:p>
      <w:pPr>
        <w:pStyle w:val="BodyText"/>
      </w:pPr>
      <w:r>
        <w:t xml:space="preserve">&lt;tr&gt;&lt;/&gt;;</w:t>
      </w:r>
      <w:r>
        <w:br/>
      </w:r>
      <w:r>
        <w:t xml:space="preserve">📦 </w:t>
      </w:r>
    </w:p>
    <w:p>
      <w:pPr>
        <w:pStyle w:val="BodyText"/>
      </w:pPr>
      <w:r>
        <w:t xml:space="preserve">Axis (Degrees)</w:t>
      </w:r>
    </w:p>
    <w:p>
      <w:pPr>
        <w:pStyle w:val="BodyText"/>
      </w:pPr>
      <w:r>
        <w:t xml:space="preserve">Right Eye (OD)</w:t>
      </w:r>
    </w:p>
    <w:p>
      <w:pPr>
        <w:pStyle w:val="BodyText"/>
      </w:pPr>
      <w:r>
        <w:t xml:space="preserve">&gt;;&gt;</w:t>
      </w:r>
    </w:p>
    <w:p>
      <w:pPr>
        <w:pStyle w:val="BodyText"/>
      </w:pPr>
      <w:r>
        <w:t xml:space="preserve">095°</w:t>
      </w:r>
    </w:p>
    <w:p>
      <w:pPr>
        <w:pStyle w:val="BodyText"/>
      </w:pPr>
      <w:r>
        <w:t xml:space="preserve">085°;</w:t>
      </w:r>
    </w:p>
    <w:p>
      <w:pPr>
        <w:pStyle w:val="BodyText"/>
      </w:pPr>
      <w:r>
        <w:t xml:space="preserve">&lt;tr&gt;&lt;/&gt;;</w:t>
      </w:r>
      <w:r>
        <w:br/>
      </w:r>
      <w:r>
        <w:t xml:space="preserve">📦 </w:t>
      </w:r>
    </w:p>
    <w:p>
      <w:pPr>
        <w:pStyle w:val="BodyText"/>
      </w:pPr>
      <w:r>
        <w:t xml:space="preserve">Visual Acuity (Uncorrected)</w:t>
      </w:r>
    </w:p>
    <w:p>
      <w:pPr>
        <w:pStyle w:val="BodyText"/>
      </w:pPr>
      <w:r>
        <w:t xml:space="preserve">&gt;;&gt;</w:t>
      </w:r>
    </w:p>
    <w:p>
      <w:pPr>
        <w:pStyle w:val="BodyText"/>
      </w:pPr>
      <w:r>
        <w:t xml:space="preserve">20/32</w:t>
      </w:r>
      <w:r>
        <w:br/>
      </w:r>
      <w:r>
        <w:t xml:space="preserve">(Snellen Chart);td&gt;;&gt;</w:t>
      </w:r>
    </w:p>
    <w:p>
      <w:pPr>
        <w:pStyle w:val="BodyText"/>
      </w:pPr>
      <w:r>
        <w:t xml:space="preserve">20/40</w:t>
      </w:r>
      <w:r>
        <w:br/>
      </w:r>
      <w:r>
        <w:t xml:space="preserve">(Snellen Chart);</w:t>
      </w:r>
    </w:p>
    <w:p>
      <w:pPr>
        <w:pStyle w:val="BodyText"/>
      </w:pPr>
      <w:r>
        <w:t xml:space="preserve">&lt;tr&gt;&lt;/&gt;;</w:t>
      </w:r>
      <w:r>
        <w:br/>
      </w:r>
      <w:r>
        <w:t xml:space="preserve">📦 </w:t>
      </w:r>
    </w:p>
    <w:p>
      <w:pPr>
        <w:pStyle w:val="BodyText"/>
      </w:pPr>
      <w:r>
        <w:t xml:space="preserve">Intraocular Pressure (IOP)</w:t>
      </w:r>
    </w:p>
    <w:p>
      <w:pPr>
        <w:pStyle w:val="BodyText"/>
      </w:pPr>
      <w:r>
        <w:t xml:space="preserve">&gt;;&gt;</w:t>
      </w:r>
    </w:p>
    <w:p>
      <w:pPr>
        <w:pStyle w:val="BodyText"/>
      </w:pPr>
      <w:r>
        <w:t xml:space="preserve">15 mmHg</w:t>
      </w:r>
    </w:p>
    <w:p>
      <w:pPr>
        <w:pStyle w:val="BodyText"/>
      </w:pPr>
      <w:r>
        <w:t xml:space="preserve">16 mmHg;</w:t>
      </w:r>
    </w:p>
    <w:p>
      <w:pPr>
        <w:pStyle w:val="BodyText"/>
      </w:pPr>
      <w:r>
        <w:t xml:space="preserve">;</w:t>
      </w:r>
    </w:p>
    <w:p>
      <w:pPr>
        <w:pStyle w:val="BodyText"/>
      </w:pPr>
      <w:r>
        <w:rPr>
          <w:bCs/>
          <w:b/>
        </w:rPr>
        <w:t xml:space="preserve">Note on Refractive Error:</w:t>
      </w:r>
      <w:r>
        <w:t xml:space="preserve"> </w:t>
      </w:r>
      <w:r>
        <w:t xml:space="preserve">The patient presents with myopia and astigmatism, a common finding in the general population of Argentina Buenos Aires. The Optometrist noted that the degree of progression is within normal limits for an adult aged 28, suggesting stable visual habits despite the high-stress environment typical of metropolitan life.</w:t>
      </w:r>
    </w:p>
    <w:p>
      <w:pPr>
        <w:pStyle w:val="BodyText"/>
      </w:pPr>
      <w:r>
        <w:rPr>
          <w:bCs/>
          <w:b/>
        </w:rPr>
        <w:t xml:space="preserve">Ocular Health Status:</w:t>
      </w:r>
      <w:r>
        <w:t xml:space="preserve"> </w:t>
      </w:r>
      <w:r>
        <w:t xml:space="preserve">No pathological signs were observed. The optic nerve head appeared healthy with a cup-to-disc ratio of 0.3 in both eyes, indicating no glaucomatous changes. This is particularly important for public health monitoring in Argentina Buenos Aires, where early detection of chronic conditions is prioritized by local health authorities.</w:t>
      </w:r>
    </w:p>
    <w:bookmarkStart w:id="33" w:name="discussion"/>
    <w:bookmarkStart w:id="32" w:name="discussion-and-local-contextualization"/>
    <w:p>
      <w:pPr>
        <w:pStyle w:val="Heading2"/>
      </w:pPr>
      <w:r>
        <w:t xml:space="preserve">💬 Discussion and Local Contextualization</w:t>
      </w:r>
    </w:p>
    <w:p>
      <w:pPr>
        <w:pStyle w:val="FirstParagraph"/>
      </w:pPr>
      <w:r>
        <w:t xml:space="preserve">The results of this laboratory report must be viewed through the lens of the specific epidemiological and environmental factors present in Argentina Buenos Aires. The city experiences significant seasonal variations, including hot summers and windy autumns (Pampero winds), which can exacerbate dry eye syndrome. Although this patient did not report severe dryness, the Optometrist recommended artificial tears as a preventive measure given the air quality indices often found in central districts of Argentina.</w:t>
      </w:r>
    </w:p>
    <w:bookmarkStart w:id="30" w:name="public-health-implications"/>
    <w:p>
      <w:pPr>
        <w:pStyle w:val="Heading3"/>
      </w:pPr>
      <w:r>
        <w:t xml:space="preserve">🏖️ Public Health Implications</w:t>
      </w:r>
    </w:p>
    <w:p>
      <w:pPr>
        <w:pStyle w:val="FirstParagraph"/>
      </w:pPr>
      <w:r>
        <w:t xml:space="preserve">In Argentina Buenos Aires, access to primary optometric care is increasingly integrated into public and private health insurance schemes (Obras Sociales). This report serves not only as a clinical record but also as a documentation tool for reimbursement purposes. The detailed breakdown of services provided ensures transparency and aligns with the regulatory requirements set by the National Administration of Drugs, Food and Medical Devices (ANMAT) regarding diagnostic equipment calibration.</w:t>
      </w:r>
    </w:p>
    <w:bookmarkEnd w:id="30"/>
    <w:bookmarkStart w:id="31" w:name="professional-standards"/>
    <w:p>
      <w:pPr>
        <w:pStyle w:val="Heading3"/>
      </w:pPr>
      <w:r>
        <w:t xml:space="preserve">👨‍🎓 Professional Standards</w:t>
      </w:r>
    </w:p>
    <w:p>
      <w:pPr>
        <w:pStyle w:val="FirstParagraph"/>
      </w:pPr>
      <w:r>
        <w:t xml:space="preserve">The Optometrist adhering to this report holds a license from the College of Optometrists of Buenos Aires Province. This ensures that all procedures listed were performed by qualified personnel, maintaining the highest standards of ethical and technical practice. The integration of modern technology with traditional diagnostic skills is a hallmark of contemporary optometry in Argentina.</w:t>
      </w:r>
    </w:p>
    <w:bookmarkEnd w:id="31"/>
    <w:bookmarkEnd w:id="32"/>
    <w:bookmarkEnd w:id="33"/>
    <w:bookmarkStart w:id="36" w:name="recommendations"/>
    <w:bookmarkStart w:id="35" w:name="recommendations-and-follow-up"/>
    <w:p>
      <w:pPr>
        <w:pStyle w:val="Heading2"/>
      </w:pPr>
      <w:r>
        <w:t xml:space="preserve">📋 Recommendations and Follow-Up</w:t>
      </w:r>
    </w:p>
    <w:p>
      <w:pPr>
        <w:pStyle w:val="FirstParagraph"/>
      </w:pPr>
      <w:r>
        <w:t xml:space="preserve">;&gt;🔵 </w:t>
      </w:r>
      <w:r>
        <w:rPr>
          <w:bCs/>
          <w:b/>
        </w:rPr>
        <w:t xml:space="preserve">Prescription Issuance:</w:t>
      </w:r>
      <w:r>
        <w:t xml:space="preserve"> </w:t>
      </w:r>
      <w:r>
        <w:t xml:space="preserve">A formal prescription for spectacles is provided below. Contact lenses were deemed unnecessary at this stage unless specifically requested by the patient.</w:t>
      </w:r>
    </w:p>
    <w:p>
      <w:pPr>
        <w:pStyle w:val="BodyText"/>
      </w:pPr>
      <w:r>
        <w:t xml:space="preserve">&lt;ol&gt;;</w:t>
      </w:r>
    </w:p>
    <w:p>
      <w:pPr>
        <w:pStyle w:val="BodyText"/>
      </w:pPr>
      <w:r>
        <w:t xml:space="preserve">📅 </w:t>
      </w:r>
      <w:r>
        <w:rPr>
          <w:bCs/>
          <w:b/>
        </w:rPr>
        <w:t xml:space="preserve">Amblyopia Screening:</w:t>
      </w:r>
      <w:r>
        <w:t xml:space="preserve"> </w:t>
      </w:r>
      <w:r>
        <w:t xml:space="preserve">If the patient is under 12 years of age, a follow-up visit in three months is recommended to monitor for any signs of amblyopic development. While this specific patient is an adult, this clause remains standard protocol for all lab reports originating from clinics serving families in Argentina Buenos Aires.</w:t>
      </w:r>
    </w:p>
    <w:p>
      <w:pPr>
        <w:pStyle w:val="BodyText"/>
      </w:pPr>
      <w:r>
        <w:t xml:space="preserve">&lt;ol&gt;;</w:t>
      </w:r>
    </w:p>
    <w:p>
      <w:pPr>
        <w:pStyle w:val="BodyText"/>
      </w:pPr>
      <w:r>
        <w:t xml:space="preserve">💡  Patients residing in the dense urban core of Argentina Buenos Aires are advised to adhere to the 20-20-20 rule when using digital devices. This helps mitigate the high levels of digital eye strain prevalent in this tech-savvy metropolis.</w:t>
      </w:r>
    </w:p>
    <w:p>
      <w:pPr>
        <w:pStyle w:val="BodyText"/>
      </w:pPr>
      <w:r>
        <w:t xml:space="preserve">&lt;ol&gt;;</w:t>
      </w:r>
    </w:p>
    <w:p>
      <w:pPr>
        <w:pStyle w:val="BodyText"/>
      </w:pPr>
      <w:r>
        <w:t xml:space="preserve">📅 </w:t>
      </w:r>
      <w:r>
        <w:rPr>
          <w:bCs/>
          <w:b/>
        </w:rPr>
        <w:t xml:space="preserve">Next Appointment:</w:t>
      </w:r>
      <w:r>
        <w:t xml:space="preserve"> </w:t>
      </w:r>
      <w:r>
        <w:t xml:space="preserve">A routine annual check-up is scheduled for October 2024. Regular monitoring is essential to track any changes in intraocular pressure or refractive error, particularly given the genetic predispositions often observed in the diverse population of Argentina.</w:t>
      </w:r>
    </w:p>
    <w:p>
      <w:pPr>
        <w:pStyle w:val="BodyText"/>
      </w:pPr>
      <w:r>
        <w:t xml:space="preserve">&lt;ol&gt;;</w:t>
      </w:r>
    </w:p>
    <w:p>
      <w:pPr>
        <w:pStyle w:val="BodyText"/>
      </w:pPr>
      <w:r>
        <w:t xml:space="preserve">;</w:t>
      </w:r>
    </w:p>
    <w:bookmarkStart w:id="34" w:name="prescription-summary"/>
    <w:p>
      <w:pPr>
        <w:pStyle w:val="Heading3"/>
      </w:pPr>
      <w:r>
        <w:t xml:space="preserve">Prescription Summary</w:t>
      </w:r>
    </w:p>
    <w:p>
      <w:pPr>
        <w:pStyle w:val="FirstParagraph"/>
      </w:pPr>
      <w:r>
        <w:t xml:space="preserve">;&gt;</w:t>
      </w:r>
    </w:p>
    <w:p>
      <w:pPr>
        <w:pStyle w:val="BodyText"/>
      </w:pPr>
      <w:r>
        <w:t xml:space="preserve">Lens</w:t>
      </w:r>
    </w:p>
    <w:bookmarkEnd w:id="34"/>
    <w:bookmarkEnd w:id="35"/>
    <w:bookmarkEnd w:id="36"/>
    <w:p>
      <w:pPr>
        <w:pStyle w:val="BodyText"/>
      </w:pPr>
      <w:r>
        <w:t xml:space="preserve"> </w:t>
      </w:r>
    </w:p>
    <w:p>
      <w:pPr>
        <w:pStyle w:val="BodyText"/>
      </w:pPr>
      <w:r>
        <w:t xml:space="preserve">Sphere (D)</w:t>
      </w:r>
    </w:p>
    <w:p>
      <w:pPr>
        <w:pStyle w:val="BodyText"/>
      </w:pPr>
      <w:r>
        <w:t xml:space="preserve">&gt;;&gt;</w:t>
      </w:r>
    </w:p>
    <w:p>
      <w:pPr>
        <w:pStyle w:val="BodyText"/>
      </w:pPr>
      <w:r>
        <w:t xml:space="preserve">Cylinder (D);td; 📦 </w:t>
      </w:r>
    </w:p>
    <w:p>
      <w:pPr>
        <w:pStyle w:val="BodyText"/>
      </w:pPr>
      <w:r>
        <w:t xml:space="preserve">Right Eye (OD)</w:t>
      </w:r>
    </w:p>
    <w:p>
      <w:pPr>
        <w:pStyle w:val="BodyText"/>
      </w:pPr>
      <w:r>
        <w:t xml:space="preserve">&gt;;&gt;</w:t>
      </w:r>
    </w:p>
    <w:p>
      <w:pPr>
        <w:pStyle w:val="BodyText"/>
      </w:pPr>
      <w:r>
        <w:t xml:space="preserve">-2.50 D</w:t>
      </w:r>
    </w:p>
    <w:p>
      <w:pPr>
        <w:pStyle w:val="BodyText"/>
      </w:pPr>
      <w:r>
        <w:t xml:space="preserve">-0.75 D</w:t>
      </w:r>
    </w:p>
    <w:p>
      <w:pPr>
        <w:pStyle w:val="BodyText"/>
      </w:pPr>
      <w:r>
        <w:t xml:space="preserve">;&gt;</w:t>
      </w:r>
    </w:p>
    <w:p>
      <w:pPr>
        <w:pStyle w:val="BodyText"/>
      </w:pPr>
      <w:r>
        <w:t xml:space="preserve">95°;</w:t>
      </w:r>
    </w:p>
    <w:p>
      <w:pPr>
        <w:pStyle w:val="BodyText"/>
      </w:pPr>
      <w:r>
        <w:t xml:space="preserve">&lt;/&gt;;</w:t>
      </w:r>
      <w:r>
        <w:br/>
      </w:r>
      <w:r>
        <w:t xml:space="preserve">📦 </w:t>
      </w:r>
    </w:p>
    <w:p>
      <w:pPr>
        <w:pStyle w:val="BodyText"/>
      </w:pPr>
      <w:r>
        <w:t xml:space="preserve">Left Eye (OS)</w:t>
      </w:r>
    </w:p>
    <w:p>
      <w:pPr>
        <w:pStyle w:val="BodyText"/>
      </w:pPr>
      <w:r>
        <w:t xml:space="preserve">&gt;;&gt;</w:t>
      </w:r>
    </w:p>
    <w:p>
      <w:pPr>
        <w:pStyle w:val="BodyText"/>
      </w:pPr>
      <w:r>
        <w:t xml:space="preserve">-3.75 D</w:t>
      </w:r>
    </w:p>
    <w:p>
      <w:pPr>
        <w:pStyle w:val="BodyText"/>
      </w:pPr>
      <w:r>
        <w:t xml:space="preserve">-1.25 D</w:t>
      </w:r>
    </w:p>
    <w:p>
      <w:pPr>
        <w:pStyle w:val="BodyText"/>
      </w:pPr>
      <w:r>
        <w:t xml:space="preserve">;&gt;;</w:t>
      </w:r>
    </w:p>
    <w:bookmarkStart w:id="37" w:name="conclusion"/>
    <w:p>
      <w:pPr>
        <w:pStyle w:val="Heading2"/>
      </w:pPr>
      <w:r>
        <w:t xml:space="preserve">📄 Conclusion</w:t>
      </w:r>
    </w:p>
    <w:p>
      <w:pPr>
        <w:pStyle w:val="FirstParagraph"/>
      </w:pPr>
      <w:r>
        <w:t xml:space="preserve">This laboratory report confirms that the patient presents with mild to moderate myopia and regular astigmatism, manageable with corrective lenses. The overall ocular health is good, with no signs of significant pathology. The procedures conducted were thorough and aligned with best practices in Argentina Buenos Aires.</w:t>
      </w:r>
    </w:p>
    <w:p>
      <w:pPr>
        <w:pStyle w:val="BodyText"/>
      </w:pPr>
      <w:r>
        <w:t xml:space="preserve">The collaboration between advanced optical technology and the expertise of the Optometrist ensures that patients in this region receive world-class care tailored to their specific environmental and lifestyle needs. This document stands as a testament to the commitment of healthcare providers in Argentina to maintaining high standards of visual health for all citizens.</w:t>
      </w:r>
    </w:p>
    <w:p>
      <w:pPr>
        <w:pStyle w:val="BodyText"/>
      </w:pPr>
      <w:r>
        <w:t xml:space="preserve">;</w:t>
      </w:r>
    </w:p>
    <w:bookmarkEnd w:id="37"/>
    <w:p>
      <w:pPr>
        <w:pStyle w:val="BodyText"/>
      </w:pPr>
      <w:r>
        <w:t xml:space="preserve">&lt;/&gt;;</w:t>
      </w:r>
      <w:r>
        <w:br/>
      </w:r>
      <w:r>
        <w:t xml:space="preserve">📦 </w:t>
      </w:r>
      <w:r>
        <w:rPr>
          <w:iCs/>
          <w:i/>
        </w:rPr>
        <w:t xml:space="preserve">This report is confidential and intended solely for the use of the patient and their designated healthcare providers. Unauthorized reproduction or distribution of this document is strictly prohibited under Argentine law.</w:t>
      </w:r>
      <w:r>
        <w:t xml:space="preserve">;&gt;</w:t>
      </w:r>
      <w:r>
        <w:br/>
      </w:r>
      <w:r>
        <w:t xml:space="preserve">💬 </w:t>
      </w:r>
      <w:r>
        <w:rPr>
          <w:bCs/>
          <w:b/>
        </w:rPr>
        <w:t xml:space="preserve">Signature:</w:t>
      </w:r>
      <w:r>
        <w:t xml:space="preserve">;&gt;</w:t>
      </w:r>
      <w:r>
        <w:br/>
      </w:r>
      <w:r>
        <w:t xml:space="preserve">👾️ Dr. Maria Elena Rodriguez, M.O.A.</w:t>
      </w:r>
      <w:r>
        <w:br/>
      </w:r>
      <w:r>
        <w:t xml:space="preserve">License No.: 45892-BUENOSAIRES</w:t>
      </w:r>
      <w:r>
        <w:br/>
      </w:r>
      <w:r>
        <w:t xml:space="preserve">College of Optometrists of Buenos Aires Province</w:t>
      </w:r>
      <w:r>
        <w:br/>
      </w:r>
      <w:r>
        <w:rPr>
          <w:iCs/>
          <w:i/>
        </w:rPr>
        <w:t xml:space="preserve">Dated: October 25, 2023</w:t>
      </w:r>
      <w:r>
        <w:t xml:space="preserve">;&gt;</w:t>
      </w:r>
      <w:r>
        <w:br/>
      </w:r>
      <w:r>
        <w:t xml:space="preserve">📌 </w:t>
      </w:r>
      <w:r>
        <w:rPr>
          <w:bCs/>
          <w:b/>
        </w:rPr>
        <w:t xml:space="preserve">Location:</w:t>
      </w:r>
      <w:r>
        <w:t xml:space="preserve">;&gt;</w:t>
      </w:r>
      <w:r>
        <w:br/>
      </w:r>
      <w:r>
        <w:t xml:space="preserve">Clinica de la Vista Central</w:t>
      </w:r>
      <w:r>
        <w:br/>
      </w:r>
      <w:r>
        <w:t xml:space="preserve">Av. Corrientes 1234, C1043AAQ</w:t>
      </w:r>
      <w:r>
        <w:br/>
      </w:r>
      <w:r>
        <w:t xml:space="preserve">Ciudad Autónoma de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Laboratory Report: Optometric Assessment in Argentina</dc:title>
  <dc:creator/>
  <dc:language>en</dc:language>
  <cp:keywords/>
  <dcterms:created xsi:type="dcterms:W3CDTF">2026-07-29T09:59:28Z</dcterms:created>
  <dcterms:modified xsi:type="dcterms:W3CDTF">2026-07-29T09:59:28Z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