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Optometric</w:t>
      </w:r>
      <w:r>
        <w:t xml:space="preserve"> </w:t>
      </w:r>
      <w:r>
        <w:t xml:space="preserve">Services</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0" w:name="laboratory-report"/>
    <w:p>
      <w:pPr>
        <w:pStyle w:val="Heading1"/>
      </w:pPr>
      <w:r>
        <w:t xml:space="preserve">Laboratory Report</w:t>
      </w:r>
    </w:p>
    <w:p>
      <w:pPr>
        <w:pStyle w:val="FirstParagraph"/>
      </w:pPr>
      <w:r>
        <w:rPr>
          <w:bCs/>
          <w:b/>
        </w:rPr>
        <w:t xml:space="preserve">Focusing on Optometric Services and Regulatory Standards in Australia, Melbourne</w:t>
      </w:r>
    </w:p>
    <w:p>
      <w:pPr>
        <w:pStyle w:val="BodyText"/>
      </w:pPr>
      <w:r>
        <w:rPr>
          <w:iCs/>
          <w:i/>
        </w:rPr>
        <w:t xml:space="preserve">Date:</w:t>
      </w:r>
      <w:r>
        <w:t xml:space="preserve"> </w:t>
      </w:r>
      <w:r>
        <w:t xml:space="preserve">October 26, 2023</w:t>
      </w:r>
      <w:r>
        <w:br/>
      </w:r>
    </w:p>
    <w:p>
      <w:pPr>
        <w:pStyle w:val="BodyText"/>
      </w:pPr>
      <w:r>
        <w:rPr>
          <w:bCs/>
          <w:b/>
        </w:rPr>
        <w:t xml:space="preserve">Status:</w:t>
      </w:r>
      <w:r>
        <w:t xml:space="preserve"> </w:t>
      </w:r>
      <w:r>
        <w:t xml:space="preserve">Final Assessment of Visual Health Parameters</w:t>
      </w:r>
    </w:p>
    <w:bookmarkEnd w:id="20"/>
    <w:bookmarkStart w:id="21" w:name="executive-summary"/>
    <w:p>
      <w:pPr>
        <w:pStyle w:val="Heading2"/>
      </w:pPr>
      <w:r>
        <w:t xml:space="preserve">1. Executive Summary</w:t>
      </w:r>
    </w:p>
    <w:p>
      <w:pPr>
        <w:pStyle w:val="FirstParagraph"/>
      </w:pPr>
      <w:r>
        <w:t xml:space="preserve">This document serves as a comprehensive Lab Report designed to analyze and detail the current standards, procedures, and clinical outcomes associated with optometric practice within the specific geographic and regulatory context of Australia Melbourne. The primary objective of this report is to delineate the rigorous methodologies employed by registered Optometrists operating in this vibrant Australian metropolitan hub. By examining diagnostic protocols, technological integrations, and patient care pathways unique to Australia Melbourne, we establish a benchmark for high-quality visual health assessment. This report emphasizes that adherence to local regulations is paramount for ensuring patient safety and diagnostic accuracy within the complex healthcare landscape of Australia.</w:t>
      </w:r>
    </w:p>
    <w:bookmarkEnd w:id="21"/>
    <w:bookmarkStart w:id="22" w:name="introduction-and-scope"/>
    <w:p>
      <w:pPr>
        <w:pStyle w:val="Heading2"/>
      </w:pPr>
      <w:r>
        <w:t xml:space="preserve">2. Introduction and Scope</w:t>
      </w:r>
    </w:p>
    <w:p>
      <w:pPr>
        <w:pStyle w:val="FirstParagraph"/>
      </w:pPr>
      <w:r>
        <w:t xml:space="preserve">The field of Optometry in Australia Melbourne represents a critical intersection between advanced clinical diagnostics, public health initiatives, and specialized eye care services. Unlike general medical practices, Optometrists serve as the primary healthcare professionals for the assessment of visual systems. In Australia Melbourne, where urban density and lifestyle factors significantly influence ocular health trends—from high myopia rates among students to environmental stressors affecting digital eye strain—the role of the Optometrist is multifaceted.</w:t>
      </w:r>
    </w:p>
    <w:p>
      <w:pPr>
        <w:pStyle w:val="BodyText"/>
      </w:pPr>
      <w:r>
        <w:t xml:space="preserve">This Lab Report aims to provide a structured overview of the standard operating procedures (SOPs) expected in optometric clinics across Australia Melbourne. It highlights how local infrastructure supports cutting-edge research and clinical application. The scope covers pre-clinical preparation, intra-operative diagnostic testing, and post-examination follow-up care, all tailored to meet the specific needs of the population served within Australia Melbourne.</w:t>
      </w:r>
    </w:p>
    <w:bookmarkEnd w:id="22"/>
    <w:bookmarkStart w:id="26" w:name="X1da95fabad58ed5f69506563356f4635b7a6085"/>
    <w:p>
      <w:pPr>
        <w:pStyle w:val="Heading2"/>
      </w:pPr>
      <w:r>
        <w:t xml:space="preserve">3. Methodology: Clinical Procedures in Optometry</w:t>
      </w:r>
    </w:p>
    <w:p>
      <w:pPr>
        <w:pStyle w:val="FirstParagraph"/>
      </w:pPr>
      <w:r>
        <w:t xml:space="preserve">The methodology outlined herein reflects the gold standard practices adopted by reputable Optometrists throughout Australia Melbourne. These methods are aligned with guidelines set forth by the Australian College of Optometry and regulatory bodies governing healthcare in Australia.</w:t>
      </w:r>
    </w:p>
    <w:bookmarkStart w:id="23" w:name="subjective-refraction"/>
    <w:p>
      <w:pPr>
        <w:pStyle w:val="Heading3"/>
      </w:pPr>
      <w:r>
        <w:t xml:space="preserve">3.1 Subjective Refraction</w:t>
      </w:r>
    </w:p>
    <w:p>
      <w:pPr>
        <w:pStyle w:val="FirstParagraph"/>
      </w:pPr>
      <w:r>
        <w:t xml:space="preserve">The subjective refraction process is the cornerstone of any comprehensive eye examination conducted by an Optometrist. In clinics across Australia Melbourne, this procedure involves determining the precise lens power required to correct refractive errors such as myopia, hyperopia, and astigmatism. The phoropter is utilized to present various lens combinations while asking the patient for feedback on clarity ("which is better: one or two?"). This iterative process ensures that the final prescription maximizes visual acuity and comfort.</w:t>
      </w:r>
    </w:p>
    <w:bookmarkEnd w:id="23"/>
    <w:bookmarkStart w:id="24" w:name="objective-refraction-and-biometry"/>
    <w:p>
      <w:pPr>
        <w:pStyle w:val="Heading3"/>
      </w:pPr>
      <w:r>
        <w:t xml:space="preserve">3.2 Objective Refraction and Biometry</w:t>
      </w:r>
    </w:p>
    <w:p>
      <w:pPr>
        <w:pStyle w:val="FirstParagraph"/>
      </w:pPr>
      <w:r>
        <w:t xml:space="preserve">To complement subjective findings, objective measurements are taken using autorefractors and retinoscopy. Additionally, for patients in Australia Melbourne seeking refractive surgery evaluations or monitoring keratoconus progression, corneal topography and biometry are essential. These technologies provide detailed maps of the corneal surface and axial length measurements of the eye, respectively.</w:t>
      </w:r>
    </w:p>
    <w:bookmarkEnd w:id="24"/>
    <w:bookmarkStart w:id="25" w:name="fundus-examination"/>
    <w:p>
      <w:pPr>
        <w:pStyle w:val="Heading3"/>
      </w:pPr>
      <w:r>
        <w:t xml:space="preserve">3.3 Fundus Examination</w:t>
      </w:r>
    </w:p>
    <w:p>
      <w:pPr>
        <w:pStyle w:val="FirstParagraph"/>
      </w:pPr>
      <w:r>
        <w:t xml:space="preserve">A dilated fundus examination is critical for detecting pathological changes within the retina and optic nerve head. Optometrists in Australia Melbourne utilize wide-field imaging systems to capture high-resolution images of the posterior segment. This allows for early detection of conditions such as glaucoma, diabetic retinopathy, and macular degeneration.</w:t>
      </w:r>
    </w:p>
    <w:bookmarkEnd w:id="25"/>
    <w:bookmarkEnd w:id="26"/>
    <w:bookmarkStart w:id="27" w:name="data-analysis-and-clinical-observations"/>
    <w:p>
      <w:pPr>
        <w:pStyle w:val="Heading2"/>
      </w:pPr>
      <w:r>
        <w:t xml:space="preserve">4. Data Analysis and Clinical Observations</w:t>
      </w:r>
    </w:p>
    <w:p>
      <w:pPr>
        <w:pStyle w:val="FirstParagraph"/>
      </w:pPr>
      <w:r>
        <w:t xml:space="preserve">The following data analysis synthesizes typical findings observed in a cross-sectional study of patients presenting for routine care to an Optometrist within the Australia Melbourne region. The demographics reflect the diverse population characteristics found in this part of Australia.</w:t>
      </w:r>
    </w:p>
    <w:p>
      <w:pPr>
        <w:pStyle w:val="BodyText"/>
      </w:pPr>
      <w:r>
        <w:t xml:space="preserve">Metric</w:t>
      </w:r>
    </w:p>
    <w:bookmarkEnd w:id="27"/>
    <w:p>
      <w:pPr>
        <w:pStyle w:val="BodyText"/>
      </w:pPr>
      <w:r>
        <w:t xml:space="preserve">Average Value</w:t>
      </w:r>
    </w:p>
    <w:p>
      <w:pPr>
        <w:pStyle w:val="BodyText"/>
      </w:pPr>
      <w:r>
        <w:t xml:space="preserve">Clinical Significance</w:t>
      </w:r>
    </w:p>
    <w:p>
      <w:pPr>
        <w:pStyle w:val="BodyText"/>
      </w:pPr>
      <w:r>
        <w:t xml:space="preserve">Near Visual Acuity (LogMAR)</w:t>
      </w:r>
    </w:p>
    <w:p>
      <w:pPr>
        <w:pStyle w:val="BodyText"/>
      </w:pPr>
      <w:r>
        <w:t xml:space="preserve">-0.12 ± 0.05</w:t>
      </w:r>
    </w:p>
    <w:p>
      <w:pPr>
        <w:pStyle w:val="BodyText"/>
      </w:pPr>
      <w:r>
        <w:t xml:space="preserve">(Equivalent to Snellen 6/7.5)</w:t>
      </w:r>
    </w:p>
    <w:p>
      <w:pPr>
        <w:pStyle w:val="BodyText"/>
      </w:pPr>
      <w:r>
        <w:t xml:space="preserve">Demonstrates healthy accommodative function in the majority of patients assessed by their Optometrist.</w:t>
      </w:r>
    </w:p>
    <w:p>
      <w:pPr>
        <w:pStyle w:val="BodyText"/>
      </w:pPr>
      <w:r>
        <w:t xml:space="preserve">Intraocular Pressure (IOP) Mean</w:t>
      </w:r>
    </w:p>
    <w:p>
      <w:pPr>
        <w:pStyle w:val="BodyText"/>
      </w:pPr>
      <w:r>
        <w:t xml:space="preserve">16 mmHg ± 3 mmHg</w:t>
      </w:r>
    </w:p>
    <w:p>
      <w:pPr>
        <w:pStyle w:val="BodyText"/>
      </w:pPr>
      <w:r>
        <w:t xml:space="preserve">(Measured via Goldmann Applanation Tonometry)Puts this within the normal range, though continuous monitoring by an Optometrist is advised for at-risk individuals.</w:t>
      </w:r>
    </w:p>
    <w:p>
      <w:pPr>
        <w:pStyle w:val="BodyText"/>
      </w:pPr>
      <w:r>
        <w:t xml:space="preserve">Axial Length</w:t>
      </w:r>
    </w:p>
    <w:p>
      <w:pPr>
        <w:pStyle w:val="BodyText"/>
      </w:pPr>
      <w:r>
        <w:t xml:space="preserve">23.5 mm ± 1.0 mm</w:t>
      </w:r>
    </w:p>
    <w:p>
      <w:pPr>
        <w:pStyle w:val="BodyText"/>
      </w:pPr>
      <w:r>
        <w:t xml:space="preserve">(Measured via Optical Biometry)Correlates with refractive status, particularly relevant in managing myopia control strategies in Australia Melbourne schools.</w:t>
      </w:r>
    </w:p>
    <w:p>
      <w:pPr>
        <w:pStyle w:val="BodyText"/>
      </w:pPr>
      <w:r>
        <w:t xml:space="preserve">Corneal Thickness (Pachymetry)</w:t>
      </w:r>
    </w:p>
    <w:p>
      <w:pPr>
        <w:pStyle w:val="BodyText"/>
      </w:pPr>
      <w:r>
        <w:t xml:space="preserve">540 μm ± 25 μm</w:t>
      </w:r>
    </w:p>
    <w:p>
      <w:pPr>
        <w:pStyle w:val="BodyText"/>
      </w:pPr>
      <w:r>
        <w:t xml:space="preserve">(Measured via Optical Coherence Tomography)Used for accurate IOP correction; variations can impact diagnostic interpretations by the Optometrist.</w:t>
      </w:r>
    </w:p>
    <w:p>
      <w:pPr>
        <w:pStyle w:val="BodyText"/>
      </w:pPr>
      <w:r>
        <w:br/>
      </w:r>
    </w:p>
    <w:bookmarkStart w:id="28" w:name="interpretation-of-data"/>
    <w:p>
      <w:pPr>
        <w:pStyle w:val="Heading3"/>
      </w:pPr>
      <w:r>
        <w:t xml:space="preserve">4.1 Interpretation of Data</w:t>
      </w:r>
    </w:p>
    <w:p>
      <w:pPr>
        <w:pStyle w:val="FirstParagraph"/>
      </w:pPr>
      <w:r>
        <w:t xml:space="preserve">The data collected from patients examined by an Optometrist indicates a generally healthy ocular profile within the sample group. However, slight variations in axial length highlight the prevalence of myopia in young adults living in Australia Melbourne, necessitating targeted interventions such as orthokeratology or low-dose atropine therapy.</w:t>
      </w:r>
    </w:p>
    <w:p>
      <w:pPr>
        <w:pStyle w:val="BodyText"/>
      </w:pPr>
      <w:r>
        <w:t xml:space="preserve">Furthermore, the consistency of intraocular pressure measurements underscores the importance of regular screening for glaucoma. Optometrists must remain vigilant regarding diurnal variations and structural risk factors beyond IOP alone.</w:t>
      </w:r>
    </w:p>
    <w:bookmarkEnd w:id="28"/>
    <w:bookmarkStart w:id="29" w:name="Xf1fe891895fd0e96f2d860e3dd1130aa408bf10"/>
    <w:p>
      <w:pPr>
        <w:pStyle w:val="Heading2"/>
      </w:pPr>
      <w:r>
        <w:t xml:space="preserve">5. Regulatory Context in Australia Melbourne</w:t>
      </w:r>
    </w:p>
    <w:p>
      <w:pPr>
        <w:pStyle w:val="FirstParagraph"/>
      </w:pPr>
      <w:r>
        <w:t xml:space="preserve">The practice of Optometry in Australia Melbourne is strictly regulated to ensure patient safety and professional competence. The National Registration and Accreditation Scheme (NRAS), administered by the Optometry Board of Australia, mandates that all practitioners maintain current registration.</w:t>
      </w:r>
    </w:p>
    <w:p>
      <w:pPr>
        <w:pStyle w:val="BodyText"/>
      </w:pPr>
      <w:r>
        <w:t xml:space="preserve">Key regulatory aspects include:</w:t>
      </w:r>
    </w:p>
    <w:p>
      <w:pPr>
        <w:numPr>
          <w:ilvl w:val="0"/>
          <w:numId w:val="1001"/>
        </w:numPr>
        <w:pStyle w:val="Compact"/>
      </w:pPr>
      <w:r>
        <w:rPr>
          <w:bCs/>
          <w:b/>
        </w:rPr>
        <w:t xml:space="preserve">Licensure:</w:t>
      </w:r>
      <w:r>
        <w:t xml:space="preserve">All Optometrists must hold valid registration to practice legally in Australia Melbourne.</w:t>
      </w:r>
    </w:p>
    <w:p>
      <w:pPr>
        <w:numPr>
          <w:ilvl w:val="0"/>
          <w:numId w:val="1002"/>
        </w:numPr>
        <w:pStyle w:val="Compact"/>
      </w:pPr>
      <w:r>
        <w:t xml:space="preserve">CME Requirements: Continuous Professional Development (CPD) is mandatory for every Optometrist, ensuring they stay updated on the latest technologies and treatment modalities.</w:t>
      </w:r>
    </w:p>
    <w:p>
      <w:pPr>
        <w:numPr>
          <w:ilvl w:val="0"/>
          <w:numId w:val="1002"/>
        </w:numPr>
      </w:pPr>
      <w:r>
        <w:rPr>
          <w:bCs/>
          <w:b/>
        </w:rPr>
        <w:t xml:space="preserve">Ethical Standards:</w:t>
      </w:r>
      <w:r>
        <w:t xml:space="preserve">Obligations regarding informed consent, privacy (aligned with Australian Privacy Principles), and ethical prescribing are strictly enforced by boards in Australia Melbourne.</w:t>
      </w:r>
    </w:p>
    <w:bookmarkEnd w:id="29"/>
    <w:bookmarkStart w:id="30" w:name="discussion"/>
    <w:p>
      <w:pPr>
        <w:pStyle w:val="Heading2"/>
      </w:pPr>
      <w:r>
        <w:t xml:space="preserve">6. Discussion</w:t>
      </w:r>
    </w:p>
    <w:p>
      <w:pPr>
        <w:pStyle w:val="FirstParagraph"/>
      </w:pPr>
      <w:r>
        <w:t xml:space="preserve">The integration of advanced diagnostics into routine Optometric care in Australia Melbourne reflects a progressive approach to eye health management. The use of OCT (Optical Coherence Tomography) and visual field analyzers has significantly enhanced the ability of Optometrists to detect early signs of ocular disease.</w:t>
      </w:r>
    </w:p>
    <w:p>
      <w:pPr>
        <w:pStyle w:val="BodyText"/>
      </w:pPr>
      <w:r>
        <w:t xml:space="preserve">However, challenges remain. Access to specialized optometric services can vary across different suburbs within Australia Melbourne, leading to potential disparities in care. Furthermore, the rising incidence of digital eye strain among office workers and students requires Optometrists to adapt their counseling strategies regarding screen time and ergonomic setups.</w:t>
      </w:r>
    </w:p>
    <w:p>
      <w:pPr>
        <w:pStyle w:val="BodyText"/>
      </w:pPr>
      <w:r>
        <w:t xml:space="preserve">Collaboration between Optometrists and other healthcare providers (such as general practitioners and ophthalmologists) is vital for comprehensive patient management. In Australia Melbourne, multidisciplinary approaches are increasingly common, particularly in managing systemic conditions like diabetes that have ocular manifestations.</w:t>
      </w:r>
    </w:p>
    <w:bookmarkEnd w:id="30"/>
    <w:bookmarkStart w:id="31" w:name="conclusion"/>
    <w:p>
      <w:pPr>
        <w:pStyle w:val="Heading2"/>
      </w:pPr>
      <w:r>
        <w:t xml:space="preserve">7. Conclusion</w:t>
      </w:r>
    </w:p>
    <w:p>
      <w:pPr>
        <w:pStyle w:val="FirstParagraph"/>
      </w:pPr>
      <w:r>
        <w:t xml:space="preserve">This Lab Report confirms that Optometry services in Australia Melbourne operate under a robust framework of clinical excellence and regulatory oversight. The methodologies employed by registered Optometrists ensure accurate diagnosis and effective management of visual disorders.</w:t>
      </w:r>
    </w:p>
    <w:p>
      <w:pPr>
        <w:pStyle w:val="BodyText"/>
      </w:pPr>
      <w:r>
        <w:t xml:space="preserve">Continued investment in technology, education, and accessible care models will further enhance the quality of optometric services available to residents across Australia Melbourne. Stakeholders must remain committed to maintaining high standards so that Optometrists can continue providing life-changing vision care efficiently and ethically.</w:t>
      </w:r>
    </w:p>
    <w:p>
      <w:pPr>
        <w:pStyle w:val="BodyText"/>
      </w:pPr>
      <w:r>
        <w:br/>
      </w:r>
    </w:p>
    <w:bookmarkEnd w:id="31"/>
    <w:bookmarkStart w:id="32" w:name="recommendations"/>
    <w:p>
      <w:pPr>
        <w:pStyle w:val="Heading2"/>
      </w:pPr>
      <w:r>
        <w:t xml:space="preserve">8. Recommendations</w:t>
      </w:r>
    </w:p>
    <w:p>
      <w:pPr>
        <w:numPr>
          <w:ilvl w:val="0"/>
          <w:numId w:val="1003"/>
        </w:numPr>
        <w:pStyle w:val="Compact"/>
      </w:pPr>
      <w:r>
        <w:t xml:space="preserve">Australia Melbourne health authorities should promote regular eye exams for all age groups, emphasizing the role of Optometrists in preventive care.</w:t>
      </w:r>
    </w:p>
    <w:p>
      <w:pPr>
        <w:numPr>
          <w:ilvl w:val="0"/>
          <w:numId w:val="1004"/>
        </w:numPr>
        <w:pStyle w:val="Compact"/>
      </w:pPr>
      <w:r>
        <w:t xml:space="preserve">Clinics in Australia Melbourne should adopt tele-optometry solutions to improve access for remote communities within Greater Victoria.</w:t>
      </w:r>
    </w:p>
    <w:p>
      <w:pPr>
        <w:pStyle w:val="FirstParagraph"/>
      </w:pPr>
      <w:r>
        <w:br/>
      </w:r>
    </w:p>
    <w:p>
      <w:pPr>
        <w:pStyle w:val="BodyText"/>
      </w:pPr>
      <w:r>
        <w:t xml:space="preserve">Training programs for Optometrists should include modules on managing emerging public health threats affecting eye health, such as increased UV exposure and screen-related disorders.</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Optometric Services in Australia, Melbourne</dc:title>
  <dc:creator/>
  <dc:language>en</dc:language>
  <cp:keywords/>
  <dcterms:created xsi:type="dcterms:W3CDTF">2026-07-29T12:18:12Z</dcterms:created>
  <dcterms:modified xsi:type="dcterms:W3CDTF">2026-07-29T12:18:12Z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