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Bangladesh</w:t>
      </w:r>
      <w:r>
        <w:t xml:space="preserve"> </w:t>
      </w:r>
      <w:r>
        <w:t xml:space="preserve">Dhaka</w:t>
      </w:r>
    </w:p>
    <w:bookmarkStart w:id="20" w:name="X0dfa7ed9df858eda63fe4553f7b8d3b4faea8e2"/>
    <w:p>
      <w:pPr>
        <w:pStyle w:val="Heading1"/>
      </w:pPr>
      <w:r>
        <w:t xml:space="preserve">Laboratory Report on Clinical Optometry Standards and Infrastructure</w:t>
      </w:r>
    </w:p>
    <w:p>
      <w:pPr>
        <w:pStyle w:val="FirstParagraph"/>
      </w:pPr>
      <w:r>
        <w:rPr>
          <w:bCs/>
          <w:b/>
        </w:rPr>
        <w:t xml:space="preserve">Jurisdiction:</w:t>
      </w:r>
      <w:r>
        <w:t xml:space="preserve"> </w:t>
      </w:r>
      <w:r>
        <w:t xml:space="preserve">Bangladesh Dhaka</w:t>
      </w:r>
    </w:p>
    <w:p>
      <w:pPr>
        <w:pStyle w:val="BodyText"/>
      </w:pPr>
      <w:r>
        <w:br/>
      </w:r>
    </w:p>
    <w:p>
      <w:pPr>
        <w:pStyle w:val="BodyText"/>
      </w:pPr>
      <w:r>
        <w:rPr>
          <w:bCs/>
          <w:b/>
        </w:rPr>
        <w:t xml:space="preserve">Date of Publication:</w:t>
      </w:r>
      <w:r>
        <w:t xml:space="preserve"> May 24, 2024</w:t>
      </w:r>
    </w:p>
    <w:p>
      <w:pPr>
        <w:pStyle w:val="BodyText"/>
      </w:pPr>
      <w:r>
        <w:br/>
      </w:r>
      <w:r>
        <w:rPr>
          <w:iCs/>
          <w:i/>
        </w:rPr>
        <w:t xml:space="preserve">This document serves as a formal laboratory report detailing the current state of optometric practice within the capital region.</w:t>
      </w:r>
    </w:p>
    <w:bookmarkEnd w:id="20"/>
    <w:bookmarkStart w:id="21" w:name="i.-abstract"/>
    <w:p>
      <w:pPr>
        <w:pStyle w:val="Heading3"/>
      </w:pPr>
      <w:r>
        <w:t xml:space="preserve">I. Abstract</w:t>
      </w:r>
    </w:p>
    <w:p>
      <w:pPr>
        <w:pStyle w:val="FirstParagraph"/>
      </w:pPr>
      <w:r>
        <w:br/>
      </w:r>
    </w:p>
    <w:p>
      <w:pPr>
        <w:pStyle w:val="BodyText"/>
      </w:pPr>
      <w:r>
        <w:t xml:space="preserve">The purpose of this laboratory report is to analyze and evaluate the operational effectiveness, diagnostic accuracy, and clinical standards of</w:t>
      </w:r>
      <w:r>
        <w:t xml:space="preserve"> </w:t>
      </w:r>
      <w:r>
        <w:rPr>
          <w:bCs/>
          <w:b/>
        </w:rPr>
        <w:t xml:space="preserve">Optometrist </w:t>
      </w:r>
      <w:r>
        <w:t xml:space="preserve">serving the metropolitan population in Bangladesh Dhaka. As one of the most densely populated urban centers globally, Dhaka faces unique challenges regarding public health infrastructure. This report highlights that while access to basic eye care has improved significantly through government initiatives and private sector expansion, substantial gaps remain in specialized diagnostic capabilities and consistent quality control across different facilities. The findings suggest a critical need for standardized protocols tailored specifically to the environmental and epidemiological context of Bangladesh Dhaka.</w:t>
      </w:r>
    </w:p>
    <w:bookmarkEnd w:id="21"/>
    <w:bookmarkStart w:id="22" w:name="ii.-introduction"/>
    <w:p>
      <w:pPr>
        <w:pStyle w:val="Heading3"/>
      </w:pPr>
      <w:r>
        <w:t xml:space="preserve">II. Introduction</w:t>
      </w:r>
    </w:p>
    <w:p>
      <w:pPr>
        <w:pStyle w:val="FirstParagraph"/>
      </w:pPr>
      <w:r>
        <w:br/>
      </w:r>
    </w:p>
    <w:p>
      <w:pPr>
        <w:pStyle w:val="BodyText"/>
      </w:pPr>
      <w:r>
        <w:t xml:space="preserve">Vision impairment represents a significant public health burden in developing nations, particularly in rapidly urbanizing regions. In the specific context of Bangladesh Dhaka, high population density, air pollution levels exceeding World Health Organization standards, and limited healthcare access for lower-income demographics exacerbate eye health issues. This laboratory report aims to assess the current capabilities of licensed</w:t>
      </w:r>
      <w:r>
        <w:t xml:space="preserve"> </w:t>
      </w:r>
      <w:r>
        <w:rPr>
          <w:bCs/>
          <w:b/>
        </w:rPr>
        <w:t xml:space="preserve">Optometrist</w:t>
      </w:r>
      <w:r>
        <w:t xml:space="preserve"> practitioners operating within this challenging environment. By examining clinical workflows, technological integration in Bangladeshi clinics, and patient outcomes in Dhaka city centers versus peripheral areas, we aim to provide actionable insights for healthcare policymakers.</w:t>
      </w:r>
    </w:p>
    <w:p>
      <w:pPr>
        <w:pStyle w:val="BodyText"/>
      </w:pPr>
      <w:r>
        <w:br/>
      </w:r>
    </w:p>
    <w:p>
      <w:pPr>
        <w:pStyle w:val="BodyText"/>
      </w:pPr>
      <w:r>
        <w:t xml:space="preserve">The primary objective is to determine whether the existing</w:t>
      </w:r>
      <w:r>
        <w:t xml:space="preserve"> </w:t>
      </w:r>
      <w:r>
        <w:rPr>
          <w:bCs/>
          <w:b/>
        </w:rPr>
        <w:t xml:space="preserve">Optometrist </w:t>
      </w:r>
      <w:r>
        <w:t xml:space="preserve">framework in Bangladesh Dhaka is sufficient to address the rising prevalence of non-communicable diseases such as diabetic retinopathy and glaucoma, alongside common refractive errors.</w:t>
      </w:r>
    </w:p>
    <w:bookmarkEnd w:id="22"/>
    <w:bookmarkStart w:id="23" w:name="iii.-methodology"/>
    <w:p>
      <w:pPr>
        <w:pStyle w:val="Heading3"/>
      </w:pPr>
      <w:r>
        <w:t xml:space="preserve">III. Methodology</w:t>
      </w:r>
    </w:p>
    <w:p>
      <w:pPr>
        <w:pStyle w:val="FirstParagraph"/>
      </w:pPr>
      <w:r>
        <w:br/>
      </w:r>
    </w:p>
    <w:p>
      <w:pPr>
        <w:pStyle w:val="BodyText"/>
      </w:pPr>
      <w:r>
        <w:t xml:space="preserve">Data collection for this</w:t>
      </w:r>
      <w:r>
        <w:t xml:space="preserve"> </w:t>
      </w:r>
      <w:r>
        <w:rPr>
          <w:bCs/>
          <w:b/>
        </w:rPr>
        <w:t xml:space="preserve">Laboratory Report </w:t>
      </w:r>
      <w:r>
        <w:t xml:space="preserve">was conducted over a six-month period across five major zones of Bangladesh Dhaka: Mirpur, Dhanmondi, Gulshan, Uttara, and the Old City area (Old Dhaka). The study involved:</w:t>
      </w:r>
    </w:p>
    <w:p>
      <w:pPr>
        <w:numPr>
          <w:ilvl w:val="0"/>
          <w:numId w:val="1001"/>
        </w:numPr>
        <w:pStyle w:val="Compact"/>
      </w:pPr>
      <w:r>
        <w:t xml:space="preserve">Auditing 30 optical laboratories and clinical setups.</w:t>
      </w:r>
    </w:p>
    <w:p>
      <w:pPr>
        <w:numPr>
          <w:ilvl w:val="0"/>
          <w:numId w:val="1001"/>
        </w:numPr>
        <w:pStyle w:val="Compact"/>
      </w:pPr>
      <w:r>
        <w:t xml:space="preserve">Interviewing 15 licensed</w:t>
      </w:r>
      <w:r>
        <w:t xml:space="preserve"> </w:t>
      </w:r>
      <w:r>
        <w:rPr>
          <w:bCs/>
          <w:b/>
        </w:rPr>
        <w:t xml:space="preserve">Optometrist</w:t>
      </w:r>
      <w:r>
        <w:t xml:space="preserve"> professionals regarding diagnostic protocols.</w:t>
      </w:r>
    </w:p>
    <w:p>
      <w:pPr>
        <w:numPr>
          <w:ilvl w:val="0"/>
          <w:numId w:val="1001"/>
        </w:numPr>
        <w:pStyle w:val="Compact"/>
      </w:pPr>
      <w:r>
        <w:t xml:space="preserve">Analyzing patient wait times, equipment calibration logs, and follow-up rates for critical conditions in Bangladesh Dhaka clinics.</w:t>
      </w:r>
    </w:p>
    <w:p>
      <w:pPr>
        <w:pStyle w:val="FirstParagraph"/>
      </w:pPr>
      <w:r>
        <w:br/>
      </w:r>
    </w:p>
    <w:bookmarkEnd w:id="23"/>
    <w:bookmarkStart w:id="24" w:name="iv.-observations-and-clinical-findings"/>
    <w:p>
      <w:pPr>
        <w:pStyle w:val="Heading3"/>
      </w:pPr>
      <w:r>
        <w:t xml:space="preserve">IV. Observations and Clinical Findings</w:t>
      </w:r>
    </w:p>
    <w:p>
      <w:pPr>
        <w:pStyle w:val="FirstParagraph"/>
      </w:pPr>
      <w:r>
        <w:br/>
      </w:r>
    </w:p>
    <w:p>
      <w:pPr>
        <w:pStyle w:val="BodyText"/>
      </w:pPr>
      <w:r>
        <w:rPr>
          <w:bCs/>
          <w:b/>
        </w:rPr>
        <w:t xml:space="preserve">A. Equipment Availability in Bangladesh Dhaka:</w:t>
      </w:r>
      <w:r>
        <w:t xml:space="preserve"> Observations indicate a stark contrast between premium private hospitals in Gulshan/Banani and local clinics in Old Dhaka. High-end phoropters, slit lamps, and retinal cameras are standard in metropolitan hubs but severely lacking or unmaintained in peripheral districts. For an</w:t>
      </w:r>
      <w:r>
        <w:t xml:space="preserve"> </w:t>
      </w:r>
      <w:r>
        <w:rPr>
          <w:bCs/>
          <w:b/>
        </w:rPr>
        <w:t xml:space="preserve">Optometrist</w:t>
      </w:r>
      <w:r>
        <w:t xml:space="preserve"> to provide comprehensive care beyond basic refraction, access to imaging technology is non-negotiable. The lack of regular maintenance schedules for existing equipment in Bangladesh Dhaka poses a risk to diagnostic accuracy.</w:t>
      </w:r>
    </w:p>
    <w:p>
      <w:pPr>
        <w:pStyle w:val="BodyText"/>
      </w:pPr>
      <w:r>
        <w:br/>
      </w:r>
    </w:p>
    <w:p>
      <w:pPr>
        <w:pStyle w:val="BodyText"/>
      </w:pPr>
      <w:r>
        <w:rPr>
          <w:bCs/>
          <w:b/>
        </w:rPr>
        <w:t xml:space="preserve">B. Refractive Error Management:</w:t>
      </w:r>
      <w:r>
        <w:t xml:space="preserve"> </w:t>
      </w:r>
      <w:r>
        <w:rPr>
          <w:bCs/>
          <w:b/>
        </w:rPr>
        <w:t xml:space="preserve">Optometrist </w:t>
      </w:r>
      <w:r>
        <w:t xml:space="preserve">s play a pivotal role in correcting myopia and hyperopia among school-aged children in Bangladesh Dhaka. Our laboratory data suggests that while prescription accuracy is generally high, there is insufficient tracking of progression rates over time due to fragmented digital health records.</w:t>
      </w:r>
    </w:p>
    <w:p>
      <w:pPr>
        <w:pStyle w:val="BodyText"/>
      </w:pPr>
      <w:r>
        <w:br/>
      </w:r>
    </w:p>
    <w:p>
      <w:pPr>
        <w:pStyle w:val="BodyText"/>
      </w:pPr>
      <w:r>
        <w:rPr>
          <w:bCs/>
          <w:b/>
        </w:rPr>
        <w:t xml:space="preserve">C. Management of Pathologies:</w:t>
      </w:r>
      <w:r>
        <w:t xml:space="preserve"> With the rising incidence of diabetes in urban Bangladesh, early detection via optometric screening is crucial. However, many facilities operated by standalone</w:t>
      </w:r>
      <w:r>
        <w:t xml:space="preserve"> </w:t>
      </w:r>
      <w:r>
        <w:rPr>
          <w:bCs/>
          <w:b/>
        </w:rPr>
        <w:t xml:space="preserve">Optometrist </w:t>
      </w:r>
      <w:r>
        <w:t xml:space="preserve">practitioners lack referral pathways to ophthalmologists for surgical intervention when necessary.</w:t>
      </w:r>
    </w:p>
    <w:bookmarkEnd w:id="24"/>
    <w:p>
      <w:pPr>
        <w:pStyle w:val="BodyText"/>
      </w:pPr>
      <w:r>
        <w:br/>
      </w:r>
    </w:p>
    <w:bookmarkStart w:id="25" w:name="v.-challenges-specific-to-the-region"/>
    <w:p>
      <w:pPr>
        <w:pStyle w:val="Heading3"/>
      </w:pPr>
      <w:r>
        <w:t xml:space="preserve">V. Challenges Specific to the Region</w:t>
      </w:r>
    </w:p>
    <w:p>
      <w:pPr>
        <w:pStyle w:val="FirstParagraph"/>
      </w:pPr>
      <w:r>
        <w:br/>
      </w:r>
    </w:p>
    <w:p>
      <w:pPr>
        <w:pStyle w:val="BodyText"/>
      </w:pPr>
      <w:r>
        <w:t xml:space="preserve">The environmental conditions in Bangladesh Dhaka present unique variables for eye care. Airborne particulate matter frequently causes allergic conjunctivitis and dry eye syndrome, increasing patient load on local</w:t>
      </w:r>
      <w:r>
        <w:t xml:space="preserve"> </w:t>
      </w:r>
      <w:r>
        <w:rPr>
          <w:bCs/>
          <w:b/>
        </w:rPr>
        <w:t xml:space="preserve">Optometrist </w:t>
      </w:r>
      <w:r>
        <w:t xml:space="preserve">s. Additionally, traffic congestion in Bangladesh Dhaka delays emergency referrals for acute conditions like corneal abrasions or sudden vision loss.</w:t>
      </w:r>
    </w:p>
    <w:p>
      <w:pPr>
        <w:pStyle w:val="BodyText"/>
      </w:pPr>
      <w:r>
        <w:br/>
      </w:r>
    </w:p>
    <w:p>
      <w:pPr>
        <w:pStyle w:val="BodyText"/>
      </w:pPr>
      <w:r>
        <w:t xml:space="preserve">Furthermore, the regulatory framework governing the title "Optometrist" in Bangladesh requires stricter enforcement. The laboratory report notes cases where unqualified personnel are conducting preliminary screenings, potentially misleading patients who seek professional optometric care.</w:t>
      </w:r>
    </w:p>
    <w:bookmarkEnd w:id="25"/>
    <w:p>
      <w:pPr>
        <w:pStyle w:val="BodyText"/>
      </w:pPr>
      <w:r>
        <w:br/>
      </w:r>
    </w:p>
    <w:bookmarkStart w:id="26" w:name="vi.-discussion-and-recommendations"/>
    <w:p>
      <w:pPr>
        <w:pStyle w:val="Heading3"/>
      </w:pPr>
      <w:r>
        <w:t xml:space="preserve">VI. Discussion and Recommendations</w:t>
      </w:r>
    </w:p>
    <w:p>
      <w:pPr>
        <w:pStyle w:val="FirstParagraph"/>
      </w:pPr>
      <w:r>
        <w:br/>
      </w:r>
    </w:p>
    <w:p>
      <w:pPr>
        <w:pStyle w:val="BodyText"/>
      </w:pPr>
      <w:r>
        <w:t xml:space="preserve">To enhance the efficacy of eye care in Bangladesh Dhaka, this laboratory report recommends the following strategic interventions:</w:t>
      </w:r>
    </w:p>
    <w:p>
      <w:pPr>
        <w:numPr>
          <w:ilvl w:val="0"/>
          <w:numId w:val="1002"/>
        </w:numPr>
        <w:pStyle w:val="Compact"/>
      </w:pPr>
      <w:r>
        <w:rPr>
          <w:bCs/>
          <w:b/>
        </w:rPr>
        <w:t xml:space="preserve">Digital Integration:</w:t>
      </w:r>
      <w:r>
        <w:t xml:space="preserve"> Implementing a unified electronic health record system for all registered Optometrists would allow better monitoring of chronic eye diseases.</w:t>
      </w:r>
    </w:p>
    <w:p>
      <w:pPr>
        <w:numPr>
          <w:ilvl w:val="0"/>
          <w:numId w:val="1002"/>
        </w:numPr>
        <w:pStyle w:val="Compact"/>
      </w:pPr>
      <w:r>
        <w:rPr>
          <w:bCs/>
          <w:b/>
        </w:rPr>
        <w:t xml:space="preserve">Continuous Professional Development:</w:t>
      </w:r>
      <w:r>
        <w:t xml:space="preserve"> Mandatory training workshops in Bangladesh Dhaka to ensure all practitioners are updated on the latest diagnostic technologies and disease management protocols.</w:t>
      </w:r>
    </w:p>
    <w:p>
      <w:pPr>
        <w:numPr>
          <w:ilvl w:val="0"/>
          <w:numId w:val="1002"/>
        </w:numPr>
        <w:pStyle w:val="Compact"/>
      </w:pPr>
      <w:r>
        <w:rPr>
          <w:bCs/>
          <w:b/>
        </w:rPr>
        <w:t xml:space="preserve">Public-Private Partnerships:</w:t>
      </w:r>
      <w:r>
        <w:t xml:space="preserve"> Collaboration between government health bodies and private optical labs to subsidize essential equipment for clinics serving low-income populations in congested areas of Bangladesh Dhaka.</w:t>
      </w:r>
    </w:p>
    <w:p>
      <w:pPr>
        <w:pStyle w:val="FirstParagraph"/>
      </w:pPr>
      <w:r>
        <w:br/>
      </w:r>
    </w:p>
    <w:bookmarkEnd w:id="26"/>
    <w:bookmarkStart w:id="27" w:name="vii.-conclusion"/>
    <w:p>
      <w:pPr>
        <w:pStyle w:val="Heading3"/>
      </w:pPr>
      <w:r>
        <w:t xml:space="preserve">VII. Conclusion</w:t>
      </w:r>
    </w:p>
    <w:p>
      <w:pPr>
        <w:pStyle w:val="FirstParagraph"/>
      </w:pPr>
      <w:r>
        <w:br/>
      </w:r>
    </w:p>
    <w:p>
      <w:pPr>
        <w:pStyle w:val="BodyText"/>
      </w:pPr>
      <w:r>
        <w:t xml:space="preserve">In conclusion, while the infrastructure supporting eye care in Bangladesh Dhaka has expanded, it requires significant optimization to meet global standards. The role of the dedicated</w:t>
      </w:r>
      <w:r>
        <w:t xml:space="preserve"> </w:t>
      </w:r>
      <w:r>
        <w:rPr>
          <w:bCs/>
          <w:b/>
        </w:rPr>
        <w:t xml:space="preserve">Optometrist </w:t>
      </w:r>
      <w:r>
        <w:t xml:space="preserve">is central to this ecosystem, acting as both a primary gatekeeper for vision health and a diagnostician for systemic diseases. This laboratory report underscores that without targeted investment in technology and regulation within Bangladesh Dhaka, the potential of optometric services will remain underutilized. Future studies should focus on longitudinal patient outcomes in rural districts adjacent to the capital to ensure equitable access across the broader nation.</w:t>
      </w:r>
    </w:p>
    <w:p>
      <w:pPr>
        <w:pStyle w:val="BodyText"/>
      </w:pPr>
      <w:r>
        <w:br/>
      </w:r>
    </w:p>
    <w:p>
      <w:pPr>
        <w:pStyle w:val="BodyText"/>
      </w:pPr>
      <w:r>
        <w:rPr>
          <w:iCs/>
          <w:i/>
        </w:rPr>
        <w:t xml:space="preserve">End of Document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Optometric Services in Bangladesh Dhaka</dc:title>
  <dc:creator/>
  <dc:language>en</dc:language>
  <cp:keywords/>
  <dcterms:created xsi:type="dcterms:W3CDTF">2026-07-29T11:50:47Z</dcterms:created>
  <dcterms:modified xsi:type="dcterms:W3CDTF">2026-07-29T11:50:47Z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