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Comprehensive</w:t>
      </w:r>
      <w:r>
        <w:t xml:space="preserve"> </w:t>
      </w:r>
      <w:r>
        <w:t xml:space="preserve">Optometric</w:t>
      </w:r>
      <w:r>
        <w:t xml:space="preserve"> </w:t>
      </w:r>
      <w:r>
        <w:t xml:space="preserve">Assessment</w:t>
      </w:r>
      <w:r>
        <w:t xml:space="preserve"> </w:t>
      </w:r>
      <w:r>
        <w:t xml:space="preserve">in</w:t>
      </w:r>
      <w:r>
        <w:t xml:space="preserve"> </w:t>
      </w:r>
      <w:r>
        <w:t xml:space="preserve">Belgium</w:t>
      </w:r>
      <w:r>
        <w:t xml:space="preserve"> </w:t>
      </w:r>
      <w:r>
        <w:t xml:space="preserve">Brussels</w:t>
      </w:r>
    </w:p>
    <w:bookmarkStart w:id="31" w:name="Xe505148cda5d60a6fb04da63ca9e9977f41df86"/>
    <w:p>
      <w:pPr>
        <w:pStyle w:val="Heading1"/>
      </w:pPr>
      <w:r>
        <w:t xml:space="preserve">Clinical Laboratory Report: Optometric Diagnostic Evaluation</w:t>
      </w:r>
    </w:p>
    <w:p>
      <w:pPr>
        <w:pStyle w:val="FirstParagraph"/>
      </w:pPr>
      <w:r>
        <w:rPr>
          <w:bCs/>
          <w:b/>
        </w:rPr>
        <w:t xml:space="preserve">Date of Issue:</w:t>
      </w:r>
      <w:r>
        <w:t xml:space="preserve"> </w:t>
      </w:r>
      <w:r>
        <w:t xml:space="preserve">October 24, 2023</w:t>
      </w:r>
      <w:r>
        <w:br/>
      </w:r>
      <w:r>
        <w:rPr>
          <w:bCs/>
          <w:b/>
        </w:rPr>
        <w:t xml:space="preserve">Jurisdiction:</w:t>
      </w:r>
      <w:r>
        <w:t xml:space="preserve"> </w:t>
      </w:r>
      <w:r>
        <w:t xml:space="preserve">Belgium Brussels</w:t>
      </w:r>
      <w:r>
        <w:br/>
      </w:r>
      <w:r>
        <w:rPr>
          <w:bCs/>
          <w:b/>
        </w:rPr>
        <w:t xml:space="preserve">Patient ID:</w:t>
      </w:r>
      <w:r>
        <w:t xml:space="preserve"> </w:t>
      </w:r>
      <w:r>
        <w:t xml:space="preserve">BRU-9982-OPT</w:t>
      </w:r>
      <w:r>
        <w:br/>
      </w:r>
      <w:r>
        <w:rPr>
          <w:bCs/>
          <w:b/>
        </w:rPr>
        <w:t xml:space="preserve">Referring Institution:</w:t>
      </w:r>
      <w:r>
        <w:t xml:space="preserve"> </w:t>
      </w:r>
      <w:r>
        <w:t xml:space="preserve">Centre de Santé Visuelle Ixelles</w:t>
      </w:r>
    </w:p>
    <w:bookmarkStart w:id="20" w:name="executive-summary"/>
    <w:p>
      <w:pPr>
        <w:pStyle w:val="Heading2"/>
      </w:pPr>
      <w:r>
        <w:t xml:space="preserve">1. Executive Summary</w:t>
      </w:r>
    </w:p>
    <w:p>
      <w:pPr>
        <w:pStyle w:val="FirstParagraph"/>
      </w:pPr>
      <w:r>
        <w:t xml:space="preserve">This</w:t>
      </w:r>
      <w:r>
        <w:t xml:space="preserve"> </w:t>
      </w:r>
      <w:r>
        <w:t xml:space="preserve">Lab Report</w:t>
      </w:r>
    </w:p>
    <w:p>
      <w:pPr>
        <w:pStyle w:val="BodyText"/>
      </w:pPr>
      <w:r>
        <w:t xml:space="preserve">serves as a formal documentation of the comprehensive ocular diagnostics performed on Patient ID BRU-9982-OPT. The primary objective of this assessment was to evaluate visual acuity, refractive status, and binocular vision functions within the regulatory framework established by the Belgian Federal Public Service Health, Food Chain Safety and Environment. The findings presented herein are tailored specifically for use in</w:t>
      </w:r>
      <w:r>
        <w:t xml:space="preserve"> </w:t>
      </w:r>
      <w:r>
        <w:t xml:space="preserve">Belgium Brussels</w:t>
      </w:r>
      <w:r>
        <w:t xml:space="preserve">, adhering to local standards for optical prescriptions and insurance reimbursement protocols.</w:t>
      </w:r>
    </w:p>
    <w:bookmarkEnd w:id="20"/>
    <w:bookmarkStart w:id="21" w:name="introduction-and-scope"/>
    <w:p>
      <w:pPr>
        <w:pStyle w:val="Heading2"/>
      </w:pPr>
      <w:r>
        <w:t xml:space="preserve">2. Introduction and Scope</w:t>
      </w:r>
    </w:p>
    <w:p>
      <w:pPr>
        <w:pStyle w:val="FirstParagraph"/>
      </w:pPr>
      <w:r>
        <w:t xml:space="preserve">An</w:t>
      </w:r>
      <w:r>
        <w:t xml:space="preserve"> </w:t>
      </w:r>
      <w:r>
        <w:t xml:space="preserve">Optometrist</w:t>
      </w:r>
    </w:p>
    <w:p>
      <w:pPr>
        <w:pStyle w:val="BodyText"/>
      </w:pPr>
      <w:r>
        <w:t xml:space="preserve">is a healthcare professional who is legally authorized to examine, diagnose, treat, and manage diseases involving the eyes, visual system, and associated structures in Belgium. In the region of</w:t>
      </w:r>
      <w:r>
        <w:t xml:space="preserve"> </w:t>
      </w:r>
      <w:r>
        <w:t xml:space="preserve">Belgium Brussels</w:t>
      </w:r>
      <w:r>
        <w:t xml:space="preserve">, the scope of practice for optometry has expanded significantly in recent years due to legislative updates regarding primary eye care. This report details a standard diagnostic workflow that includes subjective refraction, slit-lamp biomicroscopy, intraocular pressure measurement, and fundus examination.</w:t>
      </w:r>
    </w:p>
    <w:p>
      <w:pPr>
        <w:pStyle w:val="BodyText"/>
      </w:pPr>
      <w:r>
        <w:t xml:space="preserve">The purpose of this document is twofold: first, to provide the patient with a detailed explanation of their current ocular health status; and second, to serve as an official medical record for submission to Belgian mutual insurance funds (mutualités/mutualiteiten). Accurate documentation in this</w:t>
      </w:r>
      <w:r>
        <w:t xml:space="preserve"> </w:t>
      </w:r>
      <w:r>
        <w:t xml:space="preserve">Lab Report</w:t>
      </w:r>
    </w:p>
    <w:p>
      <w:pPr>
        <w:pStyle w:val="BodyText"/>
      </w:pPr>
      <w:r>
        <w:t xml:space="preserve">is critical for ensuring that patients in</w:t>
      </w:r>
      <w:r>
        <w:t xml:space="preserve"> </w:t>
      </w:r>
      <w:r>
        <w:t xml:space="preserve">Belgium Brussels</w:t>
      </w:r>
    </w:p>
    <w:p>
      <w:pPr>
        <w:pStyle w:val="BodyText"/>
      </w:pPr>
      <w:r>
        <w:t xml:space="preserve">receive appropriate coverage for corrective lenses and, where necessary, therapeutic interventions.</w:t>
      </w:r>
    </w:p>
    <w:bookmarkEnd w:id="21"/>
    <w:bookmarkStart w:id="26" w:name="clinical-methodology"/>
    <w:p>
      <w:pPr>
        <w:pStyle w:val="Heading2"/>
      </w:pPr>
      <w:r>
        <w:t xml:space="preserve">3. Clinical Methodology</w:t>
      </w:r>
    </w:p>
    <w:p>
      <w:pPr>
        <w:pStyle w:val="FirstParagraph"/>
      </w:pPr>
      <w:r>
        <w:t xml:space="preserve">The diagnostic procedures were conducted using calibrated digital phoropters and automated keratometers. The methodology adheres strictly to the guidelines set forth by the Belgian Royal Order concerning optometry. The examination was performed in a controlled lighting environment to minimize accommodation artifacts.</w:t>
      </w:r>
    </w:p>
    <w:bookmarkStart w:id="22" w:name="visual-acuity-testing"/>
    <w:p>
      <w:pPr>
        <w:pStyle w:val="Heading3"/>
      </w:pPr>
      <w:r>
        <w:t xml:space="preserve">3.1 Visual Acuity Testing</w:t>
      </w:r>
    </w:p>
    <w:p>
      <w:pPr>
        <w:pStyle w:val="FirstParagraph"/>
      </w:pPr>
      <w:r>
        <w:t xml:space="preserve">Visual acuity was measured at distance (6 meters) and near (40 cm) using Snellen charts standardized for the European market, which is prevalent in</w:t>
      </w:r>
      <w:r>
        <w:t xml:space="preserve"> </w:t>
      </w:r>
      <w:r>
        <w:t xml:space="preserve">Belgium Brussels</w:t>
      </w:r>
      <w:r>
        <w:t xml:space="preserve">. Uncorrected and best-corrected visual acuities were recorded. This data point is essential for determining if the patient meets the legal driving vision requirements in Belgium.</w:t>
      </w:r>
    </w:p>
    <w:bookmarkEnd w:id="22"/>
    <w:bookmarkStart w:id="23" w:name="refractive-assessment"/>
    <w:p>
      <w:pPr>
        <w:pStyle w:val="Heading3"/>
      </w:pPr>
      <w:r>
        <w:t xml:space="preserve">2. Refractive Assessment</w:t>
      </w:r>
    </w:p>
    <w:p>
      <w:pPr>
        <w:pStyle w:val="FirstParagraph"/>
      </w:pPr>
      <w:r>
        <w:t xml:space="preserve">Cycloplegic refraction was not induced as per standard protocol for adult patients, unless significant accommodative spasm was observed. The</w:t>
      </w:r>
      <w:r>
        <w:t xml:space="preserve"> </w:t>
      </w:r>
      <w:r>
        <w:t xml:space="preserve">Optometrist</w:t>
      </w:r>
    </w:p>
    <w:p>
      <w:pPr>
        <w:pStyle w:val="BodyText"/>
      </w:pPr>
      <w:r>
        <w:t xml:space="preserve">utilized subjective refinement techniques to determine the sphere, cylinder, axis, and addition values. Special attention was paid to astigmatism management, a common concern among urban populations in</w:t>
      </w:r>
      <w:r>
        <w:t xml:space="preserve"> </w:t>
      </w:r>
      <w:r>
        <w:t xml:space="preserve">Belgium Brussels</w:t>
      </w:r>
    </w:p>
    <w:p>
      <w:pPr>
        <w:pStyle w:val="BodyText"/>
      </w:pPr>
      <w:r>
        <w:t xml:space="preserve">due to extended screen time and digital eye strain.</w:t>
      </w:r>
    </w:p>
    <w:bookmarkEnd w:id="23"/>
    <w:bookmarkStart w:id="24" w:name="anterior-segment-examination"/>
    <w:p>
      <w:pPr>
        <w:pStyle w:val="Heading3"/>
      </w:pPr>
      <w:r>
        <w:t xml:space="preserve">3. Anterior Segment Examination</w:t>
      </w:r>
    </w:p>
    <w:p>
      <w:pPr>
        <w:pStyle w:val="FirstParagraph"/>
      </w:pPr>
      <w:r>
        <w:t xml:space="preserve">A slit-lamp examination was performed to assess the health of the cornea, conjunctiva, iris, and anterior chamber. This step is crucial for detecting early signs of keratoconus or dry eye syndrome (Sicca Syndrome), which are increasingly diagnosed in metropolitan areas like</w:t>
      </w:r>
      <w:r>
        <w:t xml:space="preserve"> </w:t>
      </w:r>
      <w:r>
        <w:t xml:space="preserve">Belgium Brussels</w:t>
      </w:r>
    </w:p>
    <w:p>
      <w:pPr>
        <w:pStyle w:val="BodyText"/>
      </w:pPr>
      <w:r>
        <w:t xml:space="preserve">due to environmental pollutants and indoor air conditioning.</w:t>
      </w:r>
    </w:p>
    <w:bookmarkEnd w:id="24"/>
    <w:bookmarkStart w:id="25" w:name="intraocular-pressure-iop-measurement"/>
    <w:p>
      <w:pPr>
        <w:pStyle w:val="Heading3"/>
      </w:pPr>
      <w:r>
        <w:t xml:space="preserve">4. Intraocular Pressure (IOP) Measurement</w:t>
      </w:r>
    </w:p>
    <w:p>
      <w:pPr>
        <w:pStyle w:val="FirstParagraph"/>
      </w:pPr>
      <w:r>
        <w:t xml:space="preserve">Intraocular pressure was measured using non-contact tonometry (NCT). This screening is vital for the early detection of glaucoma, a leading cause of irreversible blindness. While this</w:t>
      </w:r>
      <w:r>
        <w:t xml:space="preserve"> </w:t>
      </w:r>
      <w:r>
        <w:t xml:space="preserve">Lab Report</w:t>
      </w:r>
    </w:p>
    <w:p>
      <w:pPr>
        <w:pStyle w:val="BodyText"/>
      </w:pPr>
      <w:r>
        <w:t xml:space="preserve">provides preliminary IOP data, any elevated readings would necessitate a referral to an ophthalmologist in</w:t>
      </w:r>
      <w:r>
        <w:t xml:space="preserve"> </w:t>
      </w:r>
      <w:r>
        <w:t xml:space="preserve">Belgium Brussels</w:t>
      </w:r>
    </w:p>
    <w:p>
      <w:pPr>
        <w:pStyle w:val="BodyText"/>
      </w:pPr>
      <w:r>
        <w:t xml:space="preserve">for gonioscopy and visual field testing.</w:t>
      </w:r>
    </w:p>
    <w:bookmarkEnd w:id="25"/>
    <w:bookmarkEnd w:id="26"/>
    <w:bookmarkStart w:id="27" w:name="results-and-observations"/>
    <w:p>
      <w:pPr>
        <w:pStyle w:val="Heading2"/>
      </w:pPr>
      <w:r>
        <w:t xml:space="preserve">4. Results and Observations</w:t>
      </w:r>
    </w:p>
    <w:p>
      <w:pPr>
        <w:pStyle w:val="FirstParagraph"/>
      </w:pPr>
      <w:r>
        <w:t xml:space="preserve">The following clinical data was extracted from the diagnostic session:</w:t>
      </w:r>
    </w:p>
    <w:p>
      <w:pPr>
        <w:pStyle w:val="BodyText"/>
      </w:pPr>
      <w:r>
        <w:rPr>
          <w:bCs/>
          <w:b/>
        </w:rPr>
        <w:t xml:space="preserve">Patient Data Summary:</w:t>
      </w:r>
      <w:r>
        <w:br/>
      </w:r>
      <w:r>
        <w:t xml:space="preserve">Right Eye (OD): Sphere -1.50, Cylinder -0.75, Axis 180</w:t>
      </w:r>
      <w:r>
        <w:br/>
      </w:r>
      <w:r>
        <w:t xml:space="preserve">Left Eye (OS): Sphere -1.25, Cylinder -0.75, Axis 20</w:t>
      </w:r>
      <w:r>
        <w:br/>
      </w:r>
      <w:r>
        <w:t xml:space="preserve">Near Addition: +1.25 D</w:t>
      </w:r>
      <w:r>
        <w:br/>
      </w:r>
      <w:r>
        <w:t xml:space="preserve">Intraocular Pressure: OD 14 mmHg, OS 13 mmHg</w:t>
      </w:r>
      <w:r>
        <w:br/>
      </w:r>
      <w:r>
        <w:t xml:space="preserve">Anterior Segment: Clear corneas; no signs of neovascularization.</w:t>
      </w:r>
      <w:r>
        <w:br/>
      </w:r>
    </w:p>
    <w:p>
      <w:pPr>
        <w:pStyle w:val="BodyText"/>
      </w:pPr>
      <w:r>
        <w:t xml:space="preserve">The results indicate a mild myopic astigmatism in both eyes. The addition power suggests the onset of presbyopia, typically observed in patients over the age of 40. These findings are consistent with demographic trends observed among residents in</w:t>
      </w:r>
      <w:r>
        <w:t xml:space="preserve"> </w:t>
      </w:r>
      <w:r>
        <w:t xml:space="preserve">Belgium Brussels</w:t>
      </w:r>
    </w:p>
    <w:p>
      <w:pPr>
        <w:pStyle w:val="BodyText"/>
      </w:pPr>
      <w:r>
        <w:t xml:space="preserve">.</w:t>
      </w:r>
    </w:p>
    <w:bookmarkEnd w:id="27"/>
    <w:bookmarkStart w:id="28" w:name="discussion-and-interpretation"/>
    <w:p>
      <w:pPr>
        <w:pStyle w:val="Heading2"/>
      </w:pPr>
      <w:r>
        <w:t xml:space="preserve">5. Discussion and Interpretation</w:t>
      </w:r>
    </w:p>
    <w:p>
      <w:pPr>
        <w:pStyle w:val="FirstParagraph"/>
      </w:pPr>
      <w:r>
        <w:t xml:space="preserve">The diagnosis confirms mild refractive error requiring correction for optimal distance vision and moderate near-vision assistance. The</w:t>
      </w:r>
      <w:r>
        <w:t xml:space="preserve"> </w:t>
      </w:r>
      <w:r>
        <w:t xml:space="preserve">Optometrist</w:t>
      </w:r>
    </w:p>
    <w:p>
      <w:pPr>
        <w:pStyle w:val="BodyText"/>
      </w:pPr>
      <w:r>
        <w:t xml:space="preserve">has determined that the patient’s current lifestyle, involving high digital device usage in an urban setting, exacerbates visual fatigue. Therefore, anti-reflective coatings on prescribed lenses are strongly recommended.</w:t>
      </w:r>
    </w:p>
    <w:p>
      <w:pPr>
        <w:pStyle w:val="BodyText"/>
      </w:pPr>
      <w:r>
        <w:t xml:space="preserve">It is important to note that within the</w:t>
      </w:r>
      <w:r>
        <w:t xml:space="preserve"> </w:t>
      </w:r>
      <w:r>
        <w:t xml:space="preserve">Belgium Brussels</w:t>
      </w:r>
    </w:p>
    <w:p>
      <w:pPr>
        <w:pStyle w:val="BodyText"/>
      </w:pPr>
      <w:r>
        <w:t xml:space="preserve">healthcare system, patients have access to a partial reimbursement for optical prescriptions based on their age and specific health conditions. This</w:t>
      </w:r>
      <w:r>
        <w:t xml:space="preserve"> </w:t>
      </w:r>
      <w:r>
        <w:t xml:space="preserve">Lab Report</w:t>
      </w:r>
    </w:p>
    <w:p>
      <w:pPr>
        <w:pStyle w:val="BodyText"/>
      </w:pPr>
      <w:r>
        <w:t xml:space="preserve">is structured to meet the administrative requirements of these insurance entities. The detailed breakdown of diopters ensures that the optical laboratory can fabricate lenses with precision, minimizing adaptation periods for the patient.</w:t>
      </w:r>
    </w:p>
    <w:bookmarkEnd w:id="28"/>
    <w:bookmarkStart w:id="29" w:name="conclusions-and-recommendations"/>
    <w:p>
      <w:pPr>
        <w:pStyle w:val="Heading2"/>
      </w:pPr>
      <w:r>
        <w:t xml:space="preserve">6. Conclusions and Recommendations</w:t>
      </w:r>
    </w:p>
    <w:p>
      <w:pPr>
        <w:pStyle w:val="FirstParagraph"/>
      </w:pPr>
      <w:r>
        <w:t xml:space="preserve">In conclusion, this</w:t>
      </w:r>
      <w:r>
        <w:t xml:space="preserve"> </w:t>
      </w:r>
      <w:r>
        <w:t xml:space="preserve">Lab Report</w:t>
      </w:r>
    </w:p>
    <w:p>
      <w:pPr>
        <w:pStyle w:val="BodyText"/>
      </w:pPr>
      <w:r>
        <w:t xml:space="preserve">demonstrates that the patient exhibits healthy ocular structures with manageable refractive errors. The role of the</w:t>
      </w:r>
      <w:r>
        <w:t xml:space="preserve"> </w:t>
      </w:r>
      <w:r>
        <w:t xml:space="preserve">Optometrist</w:t>
      </w:r>
    </w:p>
    <w:p>
      <w:pPr>
        <w:pStyle w:val="BodyText"/>
      </w:pPr>
      <w:r>
        <w:t xml:space="preserve">in this context is not merely to prescribe glasses but to ensure long-term ocular health through regular monitoring.</w:t>
      </w:r>
    </w:p>
    <w:p>
      <w:pPr>
        <w:pStyle w:val="BodyText"/>
      </w:pPr>
      <w:r>
        <w:rPr>
          <w:bCs/>
          <w:b/>
        </w:rPr>
        <w:t xml:space="preserve">Recommendations:</w:t>
      </w:r>
    </w:p>
    <w:p>
      <w:pPr>
        <w:numPr>
          <w:ilvl w:val="0"/>
          <w:numId w:val="1001"/>
        </w:numPr>
        <w:pStyle w:val="Compact"/>
      </w:pPr>
      <w:r>
        <w:t xml:space="preserve">Patient should be fitted with single-vision distance lenses and bifocal or progressive lenses for near tasks.</w:t>
      </w:r>
    </w:p>
    <w:p>
      <w:pPr>
        <w:numPr>
          <w:ilvl w:val="0"/>
          <w:numId w:val="1001"/>
        </w:numPr>
      </w:pPr>
      <w:r>
        <w:t xml:space="preserve">A follow-up appointment is scheduled in 12 months to monitor IOP and retinal health, adhering to the standard preventive care schedule in</w:t>
      </w:r>
      <w:r>
        <w:t xml:space="preserve"> </w:t>
      </w:r>
      <w:r>
        <w:t xml:space="preserve">Belgium Brussels</w:t>
      </w:r>
    </w:p>
    <w:p>
      <w:pPr>
        <w:numPr>
          <w:ilvl w:val="0"/>
          <w:numId w:val="1000"/>
        </w:numPr>
      </w:pPr>
      <w:r>
        <w:t xml:space="preserve">.</w:t>
      </w:r>
    </w:p>
    <w:p>
      <w:pPr>
        <w:numPr>
          <w:ilvl w:val="0"/>
          <w:numId w:val="1001"/>
        </w:numPr>
        <w:pStyle w:val="Compact"/>
      </w:pPr>
      <w:r>
        <w:t xml:space="preserve">Patient education regarding UV protection and digital hygiene was provided.</w:t>
      </w:r>
    </w:p>
    <w:p>
      <w:pPr>
        <w:pStyle w:val="FirstParagraph"/>
      </w:pPr>
      <w:r>
        <w:t xml:space="preserve">This document serves as a binding record of the care provided. Any disputes or inquiries regarding this diagnosis should be directed to the licensing board of</w:t>
      </w:r>
      <w:r>
        <w:t xml:space="preserve"> </w:t>
      </w:r>
      <w:r>
        <w:t xml:space="preserve">Belgium Brussels</w:t>
      </w:r>
    </w:p>
    <w:p>
      <w:pPr>
        <w:pStyle w:val="BodyText"/>
      </w:pPr>
      <w:r>
        <w:t xml:space="preserve">, ensuring that all practices remain within legal and ethical boundaries. The integrity of this</w:t>
      </w:r>
      <w:r>
        <w:t xml:space="preserve"> </w:t>
      </w:r>
      <w:r>
        <w:t xml:space="preserve">Lab Report</w:t>
      </w:r>
    </w:p>
    <w:p>
      <w:pPr>
        <w:pStyle w:val="BodyText"/>
      </w:pPr>
      <w:r>
        <w:t xml:space="preserve">is guaranteed by the signatory Optometrist, licensed under Belgian law.</w:t>
      </w:r>
    </w:p>
    <w:bookmarkEnd w:id="29"/>
    <w:bookmarkStart w:id="30" w:name="sign-off"/>
    <w:p>
      <w:pPr>
        <w:pStyle w:val="Heading2"/>
      </w:pPr>
      <w:r>
        <w:t xml:space="preserve">7. Sign-off</w:t>
      </w:r>
    </w:p>
    <w:p>
      <w:pPr>
        <w:pStyle w:val="FirstParagraph"/>
      </w:pPr>
      <w:r>
        <w:rPr>
          <w:bCs/>
          <w:b/>
        </w:rPr>
        <w:t xml:space="preserve">Prepared By:</w:t>
      </w:r>
      <w:r>
        <w:br/>
      </w:r>
      <w:r>
        <w:t xml:space="preserve">Dr. J. De Vries, M.D., Ph.D.</w:t>
      </w:r>
      <w:r>
        <w:br/>
      </w:r>
      <w:r>
        <w:t xml:space="preserve">Licensed Optometrist</w:t>
      </w:r>
      <w:r>
        <w:br/>
      </w:r>
      <w:r>
        <w:t xml:space="preserve">Clinic: Brussels Eye Care Center</w:t>
      </w:r>
      <w:r>
        <w:br/>
      </w:r>
      <w:r>
        <w:t xml:space="preserve">License No: OPT-BRU-4492</w:t>
      </w:r>
    </w:p>
    <w:p>
      <w:pPr>
        <w:pStyle w:val="BodyText"/>
      </w:pPr>
      <w:r>
        <w:rPr>
          <w:iCs/>
          <w:i/>
        </w:rPr>
        <w:t xml:space="preserve">This report is valid for insurance claims submission in Belgium within 6 months of the date of issue.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Comprehensive Optometric Assessment in Belgium Brussels</dc:title>
  <dc:creator/>
  <dc:language>en</dc:language>
  <cp:keywords/>
  <dcterms:created xsi:type="dcterms:W3CDTF">2026-07-30T06:31:40Z</dcterms:created>
  <dcterms:modified xsi:type="dcterms:W3CDTF">2026-07-30T06:31:40Z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