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Lab</w:t>
      </w:r>
      <w:r>
        <w:t xml:space="preserve"> </w:t>
      </w:r>
      <w:r>
        <w:t xml:space="preserve">Report:</w:t>
      </w:r>
      <w:r>
        <w:t xml:space="preserve"> </w:t>
      </w:r>
      <w:r>
        <w:t xml:space="preserve">Advanced</w:t>
      </w:r>
      <w:r>
        <w:t xml:space="preserve"> </w:t>
      </w:r>
      <w:r>
        <w:t xml:space="preserve">Optometric</w:t>
      </w:r>
      <w:r>
        <w:t xml:space="preserve"> </w:t>
      </w:r>
      <w:r>
        <w:t xml:space="preserve">Assessment</w:t>
      </w:r>
      <w:r>
        <w:t xml:space="preserve"> </w:t>
      </w:r>
      <w:r>
        <w:t xml:space="preserve">Protocols</w:t>
      </w:r>
      <w:r>
        <w:t xml:space="preserve"> </w:t>
      </w:r>
      <w:r>
        <w:t xml:space="preserve">in</w:t>
      </w:r>
      <w:r>
        <w:t xml:space="preserve"> </w:t>
      </w:r>
      <w:r>
        <w:t xml:space="preserve">Chile,</w:t>
      </w:r>
      <w:r>
        <w:t xml:space="preserve"> </w:t>
      </w:r>
      <w:r>
        <w:t xml:space="preserve">Santiago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Central Optometric Research Institute of Santiago</w:t>
      </w:r>
      <w:r>
        <w:br/>
      </w:r>
    </w:p>
    <w:p>
      <w:pPr>
        <w:pStyle w:val="BodyText"/>
      </w:pPr>
      <w:r>
        <w:t xml:space="preserve">Patient ID:: COS-CHILE-8940</w:t>
      </w:r>
      <w:r>
        <w:br/>
      </w:r>
    </w:p>
    <w:p>
      <w:pPr>
        <w:pStyle w:val="BodyText"/>
      </w:pPr>
      <w:r>
        <w:t xml:space="preserve">Laboratory Location:: Providencia District, Santiago, Chile</w:t>
      </w:r>
    </w:p>
    <w:bookmarkStart w:id="29" w:name="X404f9acf62556bc983885a1e4d4f6bae14ab7d9"/>
    <w:p>
      <w:pPr>
        <w:pStyle w:val="Heading1"/>
      </w:pPr>
      <w:r>
        <w:t xml:space="preserve">Clinical Laboratory Report: Comprehensive Optometric Evaluation and Refractive Analysis in the Metropolitan Region of Santiago</w:t>
      </w:r>
    </w:p>
    <w:bookmarkStart w:id="20" w:name="executive-summary-and-introduction"/>
    <w:p>
      <w:pPr>
        <w:pStyle w:val="Heading2"/>
      </w:pPr>
      <w:r>
        <w:t xml:space="preserve">1. Executive Summary and Introduction</w:t>
      </w:r>
    </w:p>
    <w:p>
      <w:pPr>
        <w:pStyle w:val="FirstParagraph"/>
      </w:pPr>
      <w:r>
        <w:t xml:space="preserve">This document serves as a formal Lab Report detailing the procedures, findings, and clinical conclusions derived from a comprehensive optometric examination conducted within the jurisdiction of Chile, specifically focusing on the urban demographic of Santiago. The primary objective of this assessment is to evaluate ocular health, refractive status, and binocular vision capabilities in accordance with national standards regulated by the Superintendencia de Salud in Chile. As an Optometrist operating in this region, it is imperative to adapt clinical protocols not only to global best practices but also to the specific environmental and genetic characteristics of the Chilean population.</w:t>
      </w:r>
    </w:p>
    <w:p>
      <w:pPr>
        <w:pStyle w:val="BodyText"/>
      </w:pPr>
      <w:r>
        <w:t xml:space="preserve">Santiago, located in a semi-arid valley surrounded by the Andes mountains, presents unique environmental challenges for ocular health. High altitude levels during certain seasons, significant ultraviolet (UV) radiation exposure due to thin atmosphere conditions at approximately 520 meters above sea level, and variable air quality depending on seasonal thermal inversions contribute to specific patterns of ocular surface disease and refractive errors. This Lab Report outlines how the Optometrist navigates these local factors while maintaining rigorous diagnostic standards.</w:t>
      </w:r>
    </w:p>
    <w:bookmarkEnd w:id="20"/>
    <w:bookmarkStart w:id="21" w:name="methodology-and-patient-demographics"/>
    <w:p>
      <w:pPr>
        <w:pStyle w:val="Heading2"/>
      </w:pPr>
      <w:r>
        <w:t xml:space="preserve">2. Methodology and Patient Demographics</w:t>
      </w:r>
    </w:p>
    <w:p>
      <w:pPr>
        <w:pStyle w:val="FirstParagraph"/>
      </w:pPr>
      <w:r>
        <w:t xml:space="preserve">The examination was performed using state-of-the-art digital optometric equipment standard in private clinics within Santiago’s Providencia and Las Condes districts. The patient, a 34-year-old male resident of Santiago Centro, presented with complaints of intermittent digital eye strain and mild headache fatigue after prolonged computer use. Given the high rate of telecommuting in post-pandemic Chile, such symptoms are increasingly common in the local workforce.</w:t>
      </w:r>
    </w:p>
    <w:p>
      <w:pPr>
        <w:pStyle w:val="BodyText"/>
      </w:pPr>
      <w:r>
        <w:t xml:space="preserve">The laboratory protocols included:</w:t>
      </w:r>
    </w:p>
    <w:p>
      <w:pPr>
        <w:numPr>
          <w:ilvl w:val="0"/>
          <w:numId w:val="1001"/>
        </w:numPr>
        <w:pStyle w:val="Compact"/>
      </w:pPr>
      <w:r>
        <w:rPr>
          <w:bCs/>
          <w:b/>
        </w:rPr>
        <w:t xml:space="preserve">Axial Length Measurement:</w:t>
      </w:r>
      <w:r>
        <w:t xml:space="preserve"> </w:t>
      </w:r>
      <w:r>
        <w:t xml:space="preserve">Utilizing Optical Biometry to assess globe dimensions, crucial for monitoring myopia progression which has shown a rising prevalence among young adults in Santiago due to increased indoor screen time.</w:t>
      </w:r>
    </w:p>
    <w:p>
      <w:pPr>
        <w:numPr>
          <w:ilvl w:val="0"/>
          <w:numId w:val="1001"/>
        </w:numPr>
        <w:pStyle w:val="Compact"/>
      </w:pPr>
      <w:r>
        <w:rPr>
          <w:bCs/>
          <w:b/>
        </w:rPr>
        <w:t xml:space="preserve">Keratometry and Topography:</w:t>
      </w:r>
      <w:r>
        <w:t xml:space="preserve"> </w:t>
      </w:r>
      <w:r>
        <w:t xml:space="preserve">To map the corneal curvature, essential for ruling out keratoconus, a condition that requires careful monitoring given genetic predispositions observed in Andean populations.</w:t>
      </w:r>
    </w:p>
    <w:p>
      <w:pPr>
        <w:numPr>
          <w:ilvl w:val="0"/>
          <w:numId w:val="1001"/>
        </w:numPr>
        <w:pStyle w:val="Compact"/>
      </w:pPr>
      <w:r>
        <w:rPr>
          <w:bCs/>
          <w:b/>
        </w:rPr>
        <w:t xml:space="preserve">Tonometry (Non-Contact):</w:t>
      </w:r>
      <w:r>
        <w:t xml:space="preserve"> </w:t>
      </w:r>
      <w:r>
        <w:t xml:space="preserve">Measurement of intraocular pressure to screen for glaucoma, ensuring compliance with Chilean national health guidelines.</w:t>
      </w:r>
    </w:p>
    <w:p>
      <w:pPr>
        <w:numPr>
          <w:ilvl w:val="0"/>
          <w:numId w:val="1001"/>
        </w:numPr>
        <w:pStyle w:val="Compact"/>
      </w:pPr>
      <w:r>
        <w:rPr>
          <w:bCs/>
          <w:b/>
        </w:rPr>
        <w:t xml:space="preserve">Dilated Fundus Examination:</w:t>
      </w:r>
      <w:r>
        <w:t xml:space="preserve"> </w:t>
      </w:r>
      <w:r>
        <w:t xml:space="preserve">To visualize the retina and optic nerve head, checking for diabetic retinopathy or hypertensive changes, particularly relevant given the metabolic syndrome trends in urban Chile.</w:t>
      </w:r>
    </w:p>
    <w:bookmarkEnd w:id="21"/>
    <w:bookmarkStart w:id="25" w:name="clinical-findings"/>
    <w:p>
      <w:pPr>
        <w:pStyle w:val="Heading2"/>
      </w:pPr>
      <w:r>
        <w:t xml:space="preserve">3. Clinical Findings</w:t>
      </w:r>
    </w:p>
    <w:bookmarkStart w:id="22" w:name="refractive-status"/>
    <w:p>
      <w:pPr>
        <w:pStyle w:val="Heading3"/>
      </w:pPr>
      <w:r>
        <w:t xml:space="preserve">Refractive Status</w:t>
      </w:r>
    </w:p>
    <w:p>
      <w:pPr>
        <w:pStyle w:val="FirstParagraph"/>
      </w:pPr>
      <w:r>
        <w:t xml:space="preserve">The subjective refraction conducted by the Optometrist revealed a mild myopic shift in both eyes compared to previous records from two years ago. The current prescription stands at -1.50 diopters spherical equivalent for the right eye and -1.25 for the left, with minimal astigmatic components (&lt; 0.50 D). This slight progression is consistent with trends observed in other major South American capitals where digital lifestyle factors are prevalent.</w:t>
      </w:r>
    </w:p>
    <w:bookmarkEnd w:id="22"/>
    <w:bookmarkStart w:id="23" w:name="ocular-surface-health"/>
    <w:p>
      <w:pPr>
        <w:pStyle w:val="Heading3"/>
      </w:pPr>
      <w:r>
        <w:t xml:space="preserve">Ocular Surface Health</w:t>
      </w:r>
    </w:p>
    <w:p>
      <w:pPr>
        <w:pStyle w:val="FirstParagraph"/>
      </w:pPr>
      <w:r>
        <w:t xml:space="preserve">A significant finding in this Lab Report is the presence of mild Meibomian Gland Dysfunction (MGD). The patient reported a sensation of dryness and grittiness, particularly in the afternoon. This correlates with environmental data from Santiago, where humidity levels often drop below 40% during summer months. The Optometrist noted that while air conditioning units are widely used in Santiago offices to combat temperature fluctuations, they exacerbate tear film evaporation rates.</w:t>
      </w:r>
    </w:p>
    <w:bookmarkEnd w:id="23"/>
    <w:bookmarkStart w:id="24" w:name="Xb17242224b8f4346c7e214f6f4288b517501b30"/>
    <w:p>
      <w:pPr>
        <w:pStyle w:val="Heading3"/>
      </w:pPr>
      <w:r>
        <w:t xml:space="preserve">Intraocular Pressure and Glaucoma Screening</w:t>
      </w:r>
    </w:p>
    <w:p>
      <w:pPr>
        <w:pStyle w:val="FirstParagraph"/>
      </w:pPr>
      <w:r>
        <w:t xml:space="preserve">Tonometry readings were within normal limits for both eyes (14 mmHg OD and 15 mmOS). The Optometrist further performed a visual field test to ensure no functional loss was occurring. These results are critical for the patient’s peace of mind and establish a baseline for future monitoring, adhering to the preventive care standards promoted by Chilean medical associations.</w:t>
      </w:r>
    </w:p>
    <w:bookmarkEnd w:id="24"/>
    <w:bookmarkEnd w:id="25"/>
    <w:bookmarkStart w:id="27" w:name="X24563eba43cb8c5f33bf59b951fcf26b8aa4e25"/>
    <w:p>
      <w:pPr>
        <w:pStyle w:val="Heading2"/>
      </w:pPr>
      <w:r>
        <w:t xml:space="preserve">4. Discussion: Contextualizing Findings in Chile Santiago</w:t>
      </w:r>
    </w:p>
    <w:p>
      <w:pPr>
        <w:pStyle w:val="FirstParagraph"/>
      </w:pPr>
      <w:r>
        <w:t xml:space="preserve">The analysis of this Lab Report must consider the specific context of living in Santiago. The city’s geographical location plays a pivotal role in ocular health outcomes. For instance, the intense UV radiation requires patients to be educated on the necessity of wearing sunglasses with 100% UV protection, even when it is not sunny, as UV rays penetrate cloud cover effectively.</w:t>
      </w:r>
    </w:p>
    <w:p>
      <w:pPr>
        <w:pStyle w:val="BodyText"/>
      </w:pPr>
      <w:r>
        <w:t xml:space="preserve">Furthermore, air pollution in Santiago is a documented public health concern during autumn and winter. Particulate matter (PM2.5) can irritate the conjunctiva and exacerbate dry eye symptoms. The Optometrist’s recommendations in this report specifically address these local environmental stressors, advising the use of preservative-free artificial tears and suggesting humidifiers for home offices.</w:t>
      </w:r>
    </w:p>
    <w:p>
      <w:pPr>
        <w:pStyle w:val="BodyText"/>
      </w:pPr>
      <w:r>
        <w:t xml:space="preserve">Additionally, there is a growing awareness among Chilean healthcare providers regarding lifestyle-related ocular issues. This Lab Report reflects a holistic approach where the Optometrist does not merely prescribe glasses but acts as a primary eye care provider, educating the patient on the 20-20-20 rule (looking at something 20 feet away for 20 seconds every 20 minutes) to mitigate digital strain. This educational component is vital in Santiago’s competitive work culture, where long hours at screens are common.</w:t>
      </w:r>
    </w:p>
    <w:bookmarkStart w:id="26" w:name="Xaaaf18620e8494440743851eecf8f05a4241bf4"/>
    <w:p>
      <w:pPr>
        <w:pStyle w:val="Heading3"/>
      </w:pPr>
      <w:r>
        <w:t xml:space="preserve">Economic and Accessibility Considerations</w:t>
      </w:r>
    </w:p>
    <w:p>
      <w:pPr>
        <w:pStyle w:val="FirstParagraph"/>
      </w:pPr>
      <w:r>
        <w:t xml:space="preserve">In the Chilean market, access to advanced optometric technology varies. While private clinics in Santiago offer premium services covered by mutualista (private health insurance) plans like Isapre or Fonasa complementary packages, accessibility remains a factor. This Lab Report is structured to be clear and transferable between different healthcare providers within Chile, ensuring continuity of care regardless of whether the patient seeks treatment in the public sector or private practice.</w:t>
      </w:r>
    </w:p>
    <w:bookmarkEnd w:id="26"/>
    <w:bookmarkEnd w:id="27"/>
    <w:bookmarkStart w:id="28" w:name="conclusions-and-recommendations"/>
    <w:p>
      <w:pPr>
        <w:pStyle w:val="Heading2"/>
      </w:pPr>
      <w:r>
        <w:t xml:space="preserve">5. Conclusions and Recommendations</w:t>
      </w:r>
    </w:p>
    <w:p>
      <w:pPr>
        <w:pStyle w:val="FirstParagraph"/>
      </w:pPr>
      <w:r>
        <w:t xml:space="preserve">The comprehensive optometric evaluation conducted in Santiago indicates a generally healthy ocular status with manageable refractive error and environmental-induced dry eye symptoms. The Lab Report concludes that no pathological conditions requiring immediate surgical intervention were detected.</w:t>
      </w:r>
    </w:p>
    <w:p>
      <w:pPr>
        <w:pStyle w:val="BodyText"/>
      </w:pPr>
      <w:r>
        <w:rPr>
          <w:bCs/>
          <w:b/>
        </w:rPr>
        <w:t xml:space="preserve">Recommendations:</w:t>
      </w:r>
    </w:p>
    <w:p>
      <w:pPr>
        <w:numPr>
          <w:ilvl w:val="0"/>
          <w:numId w:val="1002"/>
        </w:numPr>
        <w:pStyle w:val="Compact"/>
      </w:pPr>
      <w:r>
        <w:rPr>
          <w:bCs/>
          <w:b/>
        </w:rPr>
        <w:t xml:space="preserve">Routine Follow-up:</w:t>
      </w:r>
      <w:r>
        <w:t xml:space="preserve"> </w:t>
      </w:r>
      <w:r>
        <w:t xml:space="preserve">Return to the Optometrist for a routine check-up in six months to monitor myopic progression and dry eye management.</w:t>
      </w:r>
    </w:p>
    <w:p>
      <w:pPr>
        <w:numPr>
          <w:ilvl w:val="0"/>
          <w:numId w:val="1002"/>
        </w:numPr>
        <w:pStyle w:val="Compact"/>
      </w:pPr>
      <w:r>
        <w:t xml:space="preserve">Lifestyle Modification:: Implement strict screen break protocols and utilize lubricating eye drops during work hours in Santiago’s air-conditioned environments.</w:t>
      </w:r>
    </w:p>
    <w:p>
      <w:pPr>
        <w:numPr>
          <w:ilvl w:val="0"/>
          <w:numId w:val="1002"/>
        </w:numPr>
        <w:pStyle w:val="Compact"/>
      </w:pPr>
      <w:r>
        <w:t xml:space="preserve">Sun Protection:: Mandate the use of UV-blocking eyewear when outdoors, particularly given the high altitude and UV index prevalent in the central valley.</w:t>
      </w:r>
    </w:p>
    <w:p>
      <w:pPr>
        <w:numPr>
          <w:ilvl w:val="0"/>
          <w:numId w:val="1002"/>
        </w:numPr>
        <w:pStyle w:val="Compact"/>
      </w:pPr>
      <w:r>
        <w:t xml:space="preserve">Nutritional Support:: Consider supplementation with Omega-3 fatty acids to support Meibomian gland function, a recommendation increasingly supported by local ophthalmological studies.</w:t>
      </w:r>
    </w:p>
    <w:p>
      <w:pPr>
        <w:pStyle w:val="FirstParagraph"/>
      </w:pPr>
      <w:r>
        <w:t xml:space="preserve">This Lab Report serves as a testament to the precision and environmental adaptability required of modern Optometry in Chile. By integrating global diagnostic standards with local epidemiological and environmental realities, the healthcare provider ensures optimal visual health outcomes for patients residing in Santiago. The documentation herein fulfills all regulatory requirements for clinical record-keeping in Chile and provides a robust foundation for ongoing patient care.</w:t>
      </w:r>
    </w:p>
    <w:p>
      <w:pPr>
        <w:pStyle w:val="BodyText"/>
      </w:pPr>
      <w:r>
        <w:rPr>
          <w:bCs/>
          <w:b/>
        </w:rPr>
        <w:t xml:space="preserve">Authorized by:</w:t>
      </w:r>
    </w:p>
    <w:p>
      <w:pPr>
        <w:pStyle w:val="BodyText"/>
      </w:pPr>
      <w:r>
        <w:br/>
      </w:r>
      <w:r>
        <w:br/>
      </w:r>
      <w:r>
        <w:t xml:space="preserve">Dr. Alejandro Muñoz, OD</w:t>
      </w:r>
      <w:r>
        <w:br/>
      </w:r>
      <w:r>
        <w:rPr>
          <w:iCs/>
          <w:i/>
        </w:rPr>
        <w:t xml:space="preserve">Licensed Optometrist - Colegio de Optometristas de Chile</w:t>
      </w:r>
      <w:r>
        <w:br/>
      </w:r>
      <w:r>
        <w:t xml:space="preserve">Santiago Metropolitan Region,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Lab Report: Advanced Optometric Assessment Protocols in Chile, Santiago</dc:title>
  <dc:creator/>
  <cp:keywords/>
  <dcterms:created xsi:type="dcterms:W3CDTF">2026-07-29T04:49:06Z</dcterms:created>
  <dcterms:modified xsi:type="dcterms:W3CDTF">2026-07-29T04:49:06Z</dcterms:modified>
</cp:coreProperties>
</file>

<file path=docProps/custom.xml><?xml version="1.0" encoding="utf-8"?>
<Properties xmlns="http://schemas.openxmlformats.org/officeDocument/2006/custom-properties" xmlns:vt="http://schemas.openxmlformats.org/officeDocument/2006/docPropsVTypes"/>
</file>