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Optometric</w:t>
      </w:r>
      <w:r>
        <w:t xml:space="preserve"> </w:t>
      </w:r>
      <w:r>
        <w:t xml:space="preserve">Evaluation</w:t>
      </w:r>
      <w:r>
        <w:t xml:space="preserve"> </w:t>
      </w:r>
      <w:r>
        <w:t xml:space="preserve">in</w:t>
      </w:r>
      <w:r>
        <w:t xml:space="preserve"> </w:t>
      </w:r>
      <w:r>
        <w:t xml:space="preserve">Colombia</w:t>
      </w:r>
      <w:r>
        <w:t xml:space="preserve"> </w:t>
      </w:r>
      <w:r>
        <w:t xml:space="preserve">Bogotá</w:t>
      </w:r>
    </w:p>
    <w:bookmarkStart w:id="28" w:name="X9083bc382564bd010a35bbe66255b1dcd34e818"/>
    <w:p>
      <w:pPr>
        <w:pStyle w:val="Heading1"/>
      </w:pPr>
      <w:r>
        <w:t xml:space="preserve">Clinical Lab Report and Optometric Assessment Profile</w:t>
      </w:r>
    </w:p>
    <w:p>
      <w:pPr>
        <w:pStyle w:val="FirstParagraph"/>
      </w:pPr>
      <w:r>
        <w:rPr>
          <w:bCs/>
          <w:b/>
        </w:rPr>
        <w:t xml:space="preserve">Patient ID:</w:t>
      </w:r>
      <w:r>
        <w:t xml:space="preserve">COG-2023-8492</w:t>
      </w:r>
      <w:r>
        <w:br/>
      </w:r>
      <w:r>
        <w:rPr>
          <w:bCs/>
          <w:b/>
        </w:rPr>
        <w:t xml:space="preserve">Date of Service:</w:t>
      </w:r>
      <w:r>
        <w:t xml:space="preserve"> </w:t>
      </w:r>
      <w:r>
        <w:t xml:space="preserve">October 14, 2023</w:t>
      </w:r>
      <w:r>
        <w:br/>
      </w:r>
      <w:r>
        <w:rPr>
          <w:bCs/>
          <w:b/>
        </w:rPr>
        <w:t xml:space="preserve">Facility Location:</w:t>
      </w:r>
      <w:r>
        <w:t xml:space="preserve">: Bogotá, Colombia</w:t>
      </w:r>
      <w:r>
        <w:br/>
      </w:r>
    </w:p>
    <w:p>
      <w:pPr>
        <w:pStyle w:val="BodyText"/>
      </w:pPr>
      <w:r>
        <w:t xml:space="preserve">Type of Evaluation: Comprehensive Optometric Lab Report</w:t>
      </w:r>
    </w:p>
    <w:bookmarkStart w:id="20" w:name="introduction-and-objective"/>
    <w:p>
      <w:pPr>
        <w:pStyle w:val="Heading2"/>
      </w:pPr>
      <w:r>
        <w:t xml:space="preserve">1. Introduction and Objective</w:t>
      </w:r>
    </w:p>
    <w:p>
      <w:pPr>
        <w:pStyle w:val="FirstParagraph"/>
      </w:pPr>
      <w:r>
        <w:t xml:space="preserve">The primary objective of this laboratory report is to document the comprehensive findings from a detailed optometric evaluation conducted within the clinical setting of Bogotá, Colombia. As an increasing number of residents in Bogotá seek specialized care for vision correction, refractive errors, and ocular health monitoring, it is essential that these reports adhere to international standards while respecting local regulatory frameworks established by the Ministry of Health and Social Protection in Colombia.</w:t>
      </w:r>
    </w:p>
    <w:p>
      <w:pPr>
        <w:pStyle w:val="BodyText"/>
      </w:pPr>
      <w:r>
        <w:t xml:space="preserve">This report serves not only as a clinical record but also as an educational tool to highlight the nuances of optometric practice in one of Latin America’s most significant healthcare hubs. The scope includes refractive assessment, binocular vision analysis, ocular health screening, and preliminary diagnosis formulation. By focusing on the specific context of Colombia Bogotá, we aim to demonstrate how environmental factors prevalent in high-altitude urban centers influence optometric outcomes.</w:t>
      </w:r>
    </w:p>
    <w:bookmarkEnd w:id="20"/>
    <w:bookmarkStart w:id="21" w:name="X42a54b6c857fb7a57c9b1e4ea82f26843eb66dd"/>
    <w:p>
      <w:pPr>
        <w:pStyle w:val="Heading2"/>
      </w:pPr>
      <w:r>
        <w:t xml:space="preserve">2. Patient Demographics and Environmental Context</w:t>
      </w:r>
    </w:p>
    <w:p>
      <w:pPr>
        <w:pStyle w:val="FirstParagraph"/>
      </w:pPr>
      <w:r>
        <w:t xml:space="preserve">The patient is a 34-year-old male resident of the Chapinero locality in</w:t>
      </w:r>
      <w:r>
        <w:t xml:space="preserve"> </w:t>
      </w:r>
      <w:r>
        <w:rPr>
          <w:bCs/>
          <w:b/>
        </w:rPr>
        <w:t xml:space="preserve">Bogotá</w:t>
      </w:r>
      <w:r>
        <w:t xml:space="preserve">. It is crucial to note that Bogotá sits at an altitude of approximately 2,640 meters (8,660 feet) above sea level. This high-altitude environment presents unique challenges for ocular health, particularly regarding exposure to ultraviolet (UV) radiation and potential dry eye conditions exacerbated by the city's variable climate and air quality.</w:t>
      </w:r>
    </w:p>
    <w:p>
      <w:pPr>
        <w:pStyle w:val="BodyText"/>
      </w:pPr>
      <w:r>
        <w:t xml:space="preserve">In</w:t>
      </w:r>
      <w:r>
        <w:t xml:space="preserve"> </w:t>
      </w:r>
      <w:r>
        <w:rPr>
          <w:bCs/>
          <w:b/>
        </w:rPr>
        <w:t xml:space="preserve">Colombia</w:t>
      </w:r>
      <w:r>
        <w:t xml:space="preserve">, where public awareness regarding preventive eye care is growing, there is a distinct need for rigorous documentation that accounts for these environmental stressors. Patients in</w:t>
      </w:r>
    </w:p>
    <w:p>
      <w:pPr>
        <w:pStyle w:val="BodyText"/>
      </w:pPr>
      <w:r>
        <w:t xml:space="preserve">Bogotá are often exposed to intense solar radiation due to the thinner atmosphere at this elevation, necessitating more frequent assessments of UV-induced damage and photophobia levels.</w:t>
      </w:r>
    </w:p>
    <w:bookmarkEnd w:id="21"/>
    <w:bookmarkStart w:id="22" w:name="clinical-methodology-and-equipment-used"/>
    <w:p>
      <w:pPr>
        <w:pStyle w:val="Heading2"/>
      </w:pPr>
      <w:r>
        <w:t xml:space="preserve">3. Clinical Methodology and Equipment Used</w:t>
      </w:r>
    </w:p>
    <w:p>
      <w:pPr>
        <w:pStyle w:val="FirstParagraph"/>
      </w:pPr>
      <w:r>
        <w:t xml:space="preserve">The optometric lab utilized state-of-the-art diagnostic equipment compliant with standards set by international optometric bodies and local Colombian regulations. The following instruments were employed during the</w:t>
      </w:r>
      <w:r>
        <w:t xml:space="preserve"> </w:t>
      </w:r>
      <w:r>
        <w:rPr>
          <w:bCs/>
          <w:b/>
        </w:rPr>
        <w:t xml:space="preserve">Ophthalmologist:</w:t>
      </w:r>
    </w:p>
    <w:p>
      <w:pPr>
        <w:numPr>
          <w:ilvl w:val="0"/>
          <w:numId w:val="1001"/>
        </w:numPr>
        <w:pStyle w:val="Compact"/>
      </w:pPr>
      <w:r>
        <w:t xml:space="preserve">Automated Refractor/Keratometer: To determine the refractive error and corneal curvature.</w:t>
      </w:r>
    </w:p>
    <w:p>
      <w:pPr>
        <w:numPr>
          <w:ilvl w:val="0"/>
          <w:numId w:val="1001"/>
        </w:numPr>
        <w:pStyle w:val="Compact"/>
      </w:pPr>
      <w:r>
        <w:t xml:space="preserve">Pupillography Unit:: To assess pupillary reflexes and potential neurological indicators.</w:t>
      </w:r>
    </w:p>
    <w:p>
      <w:pPr>
        <w:numPr>
          <w:ilvl w:val="0"/>
          <w:numId w:val="1001"/>
        </w:numPr>
        <w:pStyle w:val="Compact"/>
      </w:pPr>
      <w:r>
        <w:t xml:space="preserve">Tonometry (Non-Contact):: For intraocular pressure measurement to screen for glaucoma, a condition with rising prevalence in urban populations in</w:t>
      </w:r>
      <w:r>
        <w:t xml:space="preserve"> </w:t>
      </w:r>
      <w:r>
        <w:rPr>
          <w:bCs/>
          <w:b/>
        </w:rPr>
        <w:t xml:space="preserve">Colombia</w:t>
      </w:r>
      <w:r>
        <w:t xml:space="preserve">.</w:t>
      </w:r>
    </w:p>
    <w:p>
      <w:pPr>
        <w:numPr>
          <w:ilvl w:val="0"/>
          <w:numId w:val="1001"/>
        </w:numPr>
        <w:pStyle w:val="Compact"/>
      </w:pPr>
      <w:r>
        <w:t xml:space="preserve">Digital Retinal Camera:: To capture high-resolution images of the posterior segment.</w:t>
      </w:r>
    </w:p>
    <w:p>
      <w:pPr>
        <w:pStyle w:val="FirstParagraph"/>
      </w:pPr>
      <w:r>
        <w:t xml:space="preserve">All procedures were conducted in accordance with the ethical guidelines established for optometric practice in</w:t>
      </w:r>
      <w:r>
        <w:t xml:space="preserve"> </w:t>
      </w:r>
      <w:r>
        <w:rPr>
          <w:bCs/>
          <w:b/>
        </w:rPr>
        <w:t xml:space="preserve">Bogotá</w:t>
      </w:r>
      <w:r>
        <w:t xml:space="preserve">, ensuring patient consent and data privacy under Colombian law.</w:t>
      </w:r>
    </w:p>
    <w:bookmarkEnd w:id="22"/>
    <w:bookmarkStart w:id="23" w:name="subjective-refraction-results"/>
    <w:p>
      <w:pPr>
        <w:pStyle w:val="Heading2"/>
      </w:pPr>
      <w:r>
        <w:t xml:space="preserve">4. Subjective Refraction Results</w:t>
      </w:r>
    </w:p>
    <w:p>
      <w:pPr>
        <w:pStyle w:val="FirstParagraph"/>
      </w:pPr>
      <w:r>
        <w:t xml:space="preserve">The subjective refraction phase involved the use of a phoropter to refine the prescription based on the patient’s feedback. The results indicated:</w:t>
      </w:r>
    </w:p>
    <w:p>
      <w:pPr>
        <w:pStyle w:val="BodyText"/>
      </w:pPr>
      <w:r>
        <w:t xml:space="preserve">Oculus Dexter (OD)</w:t>
      </w:r>
    </w:p>
    <w:bookmarkEnd w:id="23"/>
    <w:p>
      <w:pPr>
        <w:pStyle w:val="BodyText"/>
      </w:pPr>
      <w:r>
        <w:t xml:space="preserve">-2.50 DS / -0.75 DC x 180</w:t>
      </w:r>
    </w:p>
    <w:p>
      <w:pPr>
        <w:pStyle w:val="BodyText"/>
      </w:pPr>
      <w:r>
        <w:t xml:space="preserve">Oculus Sinister (OS)</w:t>
      </w:r>
    </w:p>
    <w:p>
      <w:pPr>
        <w:pStyle w:val="BodyText"/>
      </w:pPr>
      <w:r>
        <w:t xml:space="preserve">-2.75 DS / -1.00 DC x 18</w:t>
      </w:r>
    </w:p>
    <w:p>
      <w:pPr>
        <w:pStyle w:val="BodyText"/>
      </w:pPr>
      <w:r>
        <w:t xml:space="preserve">Near Addition (ADD):</w:t>
      </w:r>
      <w:r>
        <w:br/>
      </w:r>
      <w:r>
        <w:t xml:space="preserve">Planned for future presbyopic monitoring.</w:t>
      </w:r>
    </w:p>
    <w:p>
      <w:pPr>
        <w:pStyle w:val="BodyText"/>
      </w:pPr>
      <w:r>
        <w:t xml:space="preserve">The patient reported mild asthenopia (eye strain) after prolonged computer use, a common complaint among professionals working in the tech and financial sectors prevalent in modern</w:t>
      </w:r>
      <w:r>
        <w:t xml:space="preserve"> </w:t>
      </w:r>
      <w:r>
        <w:rPr>
          <w:bCs/>
          <w:b/>
        </w:rPr>
        <w:t xml:space="preserve">Bogotá</w:t>
      </w:r>
      <w:r>
        <w:t xml:space="preserve">. The prescription aims to alleviate digital eye strain while maintaining clear distance vision necessary for navigating the city’s visual landscape.</w:t>
      </w:r>
    </w:p>
    <w:bookmarkStart w:id="24" w:name="objective-findings-and-ocular-health"/>
    <w:p>
      <w:pPr>
        <w:pStyle w:val="Heading2"/>
      </w:pPr>
      <w:r>
        <w:t xml:space="preserve">5. Objective Findings and Ocular Health</w:t>
      </w:r>
    </w:p>
    <w:p>
      <w:pPr>
        <w:pStyle w:val="FirstParagraph"/>
      </w:pPr>
      <w:r>
        <w:t xml:space="preserve">A.: The anterior segment examination revealed clear corneas with no signs of keratitis or abrasions. However, mild conjunctival injection was observed, likely related to environmental pollutants common in the dense urban traffic of</w:t>
      </w:r>
      <w:r>
        <w:t xml:space="preserve"> </w:t>
      </w:r>
      <w:r>
        <w:rPr>
          <w:bCs/>
          <w:b/>
        </w:rPr>
        <w:t xml:space="preserve">Bogotá</w:t>
      </w:r>
      <w:r>
        <w:t xml:space="preserve">.</w:t>
      </w:r>
    </w:p>
    <w:p>
      <w:pPr>
        <w:pStyle w:val="BodyText"/>
      </w:pPr>
      <w:r>
        <w:t xml:space="preserve">B. Tear Film Analysis: Schirmer’s test results indicated borderline dryness (8mm/5min). This is consistent with findings from other studies conducted in high-altitude cities, where lower humidity and increased wind exposure can compromise tear stability. Recommendations include the use of preservative-free artificial tears.</w:t>
      </w:r>
    </w:p>
    <w:p>
      <w:pPr>
        <w:pStyle w:val="BodyText"/>
      </w:pPr>
      <w:r>
        <w:t xml:space="preserve">C. Intraocular Pressure:: Measured at 16 mmHg OD and 17 mmHg OS, which falls within the normal range. This screening is vital in</w:t>
      </w:r>
    </w:p>
    <w:p>
      <w:pPr>
        <w:pStyle w:val="BodyText"/>
      </w:pPr>
      <w:r>
        <w:t xml:space="preserve">Colombia, where early detection of glaucoma can prevent irreversible vision loss.</w:t>
      </w:r>
    </w:p>
    <w:p>
      <w:pPr>
        <w:pStyle w:val="BodyText"/>
      </w:pPr>
      <w:r>
        <w:t xml:space="preserve">D. Fundus Examination:: The retina appeared healthy with no signs of diabetic retinopathy or hypertensive changes. The optic disc margins were sharp and well-defined, indicating good neurological health.</w:t>
      </w:r>
    </w:p>
    <w:bookmarkEnd w:id="24"/>
    <w:bookmarkStart w:id="25" w:name="analysis-specific-to-the-bogotá-context"/>
    <w:p>
      <w:pPr>
        <w:pStyle w:val="Heading2"/>
      </w:pPr>
      <w:r>
        <w:t xml:space="preserve">6. Analysis Specific to the Bogotá Context</w:t>
      </w:r>
    </w:p>
    <w:p>
      <w:pPr>
        <w:pStyle w:val="FirstParagraph"/>
      </w:pPr>
      <w:r>
        <w:t xml:space="preserve">The findings in this</w:t>
      </w:r>
    </w:p>
    <w:p>
      <w:pPr>
        <w:pStyle w:val="BodyText"/>
      </w:pPr>
      <w:r>
        <w:t xml:space="preserve">Ophthalmologist: The high altitude and urban pollution levels in</w:t>
      </w:r>
      <w:r>
        <w:t xml:space="preserve"> </w:t>
      </w:r>
      <w:r>
        <w:rPr>
          <w:bCs/>
          <w:b/>
        </w:rPr>
        <w:t xml:space="preserve">Bogotá</w:t>
      </w:r>
      <w:r>
        <w:t xml:space="preserve">, Colombia, require a more proactive approach to ocular surface disease management compared to patients from lower-altitude regions. Furthermore, the rapid urbanization of</w:t>
      </w:r>
    </w:p>
    <w:p>
      <w:pPr>
        <w:pStyle w:val="BodyText"/>
      </w:pPr>
      <w:r>
        <w:t xml:space="preserve">Cityscape of Bogota</w:t>
      </w:r>
    </w:p>
    <w:p>
      <w:pPr>
        <w:pStyle w:val="BodyText"/>
      </w:pPr>
      <w:r>
        <w:t xml:space="preserve">Additionally, access to specialized care in</w:t>
      </w:r>
      <w:r>
        <w:t xml:space="preserve"> </w:t>
      </w:r>
      <w:r>
        <w:rPr>
          <w:bCs/>
          <w:b/>
        </w:rPr>
        <w:t xml:space="preserve">Bogotá</w:t>
      </w:r>
    </w:p>
    <w:p>
      <w:pPr>
        <w:pStyle w:val="BodyText"/>
      </w:pPr>
      <w:r>
        <w:t xml:space="preserve">: The integration of tele-optometry services is becoming increasingly important in rural parts of Colombia. However, for metropolitan areas like</w:t>
      </w:r>
      <w:r>
        <w:t xml:space="preserve"> </w:t>
      </w:r>
      <w:r>
        <w:rPr>
          <w:bCs/>
          <w:b/>
        </w:rPr>
        <w:t xml:space="preserve">Bogotá</w:t>
      </w:r>
      <w:r>
        <w:t xml:space="preserve">, the focus remains on high-tech diagnostic capabilities and personalized care plans that address the specific lifestyle stressors of urban dwellers.</w:t>
      </w:r>
    </w:p>
    <w:bookmarkEnd w:id="25"/>
    <w:bookmarkStart w:id="26" w:name="diagnosis-and-recommendations"/>
    <w:p>
      <w:pPr>
        <w:pStyle w:val="Heading2"/>
      </w:pPr>
      <w:r>
        <w:t xml:space="preserve">7. Diagnosis and Recommendations</w:t>
      </w:r>
    </w:p>
    <w:p>
      <w:pPr>
        <w:pStyle w:val="FirstParagraph"/>
      </w:pPr>
      <w:r>
        <w:t xml:space="preserve">: The final diagnosis includes:</w:t>
      </w:r>
    </w:p>
    <w:p>
      <w:pPr>
        <w:numPr>
          <w:ilvl w:val="0"/>
          <w:numId w:val="1002"/>
        </w:numPr>
        <w:pStyle w:val="Compact"/>
      </w:pPr>
      <w:r>
        <w:t xml:space="preserve">Moderate Myopia with Astigmatism:: Prescribed corrective lenses to improve visual acuity.</w:t>
      </w:r>
    </w:p>
    <w:p>
      <w:pPr>
        <w:numPr>
          <w:ilvl w:val="0"/>
          <w:numId w:val="1002"/>
        </w:numPr>
        <w:pStyle w:val="Compact"/>
      </w:pPr>
      <w:r>
        <w:t xml:space="preserve">Mild Dry Eye Syndrome (DES):: Recommended artificial tears and eyelid hygiene protocols.</w:t>
      </w:r>
    </w:p>
    <w:p>
      <w:pPr>
        <w:numPr>
          <w:ilvl w:val="0"/>
          <w:numId w:val="1002"/>
        </w:numPr>
        <w:pStyle w:val="Compact"/>
      </w:pPr>
      <w:r>
        <w:t xml:space="preserve">Risk Assessment for UV-Related Damage:: Advised consistent use of sunglasses with 100% UV protection, crucial for residents of</w:t>
      </w:r>
    </w:p>
    <w:p>
      <w:pPr>
        <w:numPr>
          <w:ilvl w:val="0"/>
          <w:numId w:val="1000"/>
        </w:numPr>
        <w:pStyle w:val="Compact"/>
      </w:pPr>
      <w:r>
        <w:t xml:space="preserve">Bogotá.</w:t>
      </w:r>
    </w:p>
    <w:p>
      <w:pPr>
        <w:pStyle w:val="FirstParagraph"/>
      </w:pPr>
      <w:r>
        <w:t xml:space="preserve">Treatment Plan::</w:t>
      </w:r>
    </w:p>
    <w:p>
      <w:pPr>
        <w:pStyle w:val="BodyText"/>
      </w:pPr>
      <w:r>
        <w:t xml:space="preserve">Patient was prescribed progressive addition lenses to address current myopia and prepare for future presbyopia.</w:t>
      </w:r>
    </w:p>
    <w:p>
      <w:pPr>
        <w:pStyle w:val="BodyText"/>
      </w:pPr>
      <w:r>
        <w:t xml:space="preserve">Scheduled a follow-up in 6 months to monitor tear film stability and intraocular pressure.</w:t>
      </w:r>
    </w:p>
    <w:p>
      <w:pPr>
        <w:pStyle w:val="BodyText"/>
      </w:pPr>
      <w:r>
        <w:t xml:space="preserve">Educated the patient on the importance of regular optometric check-ups, emphasizing that eye health is a critical component of overall well-being in modern Colombian society..</w:t>
      </w:r>
    </w:p>
    <w:bookmarkEnd w:id="26"/>
    <w:bookmarkStart w:id="27" w:name="conclusion"/>
    <w:p>
      <w:pPr>
        <w:pStyle w:val="Heading2"/>
      </w:pPr>
      <w:r>
        <w:t xml:space="preserve">8. Conclusion</w:t>
      </w:r>
    </w:p>
    <w:p>
      <w:pPr>
        <w:pStyle w:val="FirstParagraph"/>
      </w:pPr>
      <w:r>
        <w:t xml:space="preserve">This lab report underscores the importance of tailored optometric care in</w:t>
      </w:r>
      <w:r>
        <w:t xml:space="preserve"> </w:t>
      </w:r>
      <w:r>
        <w:rPr>
          <w:bCs/>
          <w:b/>
        </w:rPr>
        <w:t xml:space="preserve">Bogotá</w:t>
      </w:r>
      <w:r>
        <w:t xml:space="preserve">, Colombia. By accounting for the unique environmental and demographic factors present in this region, clinicians can provide more effective and preventive eye care. The integration of rigorous diagnostic protocols with an understanding of local challenges ensures that patients receive optimal vision correction and ocular health maintenance.</w:t>
      </w:r>
    </w:p>
    <w:p>
      <w:pPr>
        <w:pStyle w:val="BodyText"/>
      </w:pPr>
      <w:r>
        <w:t xml:space="preserve">As healthcare infrastructure continues to evolve in</w:t>
      </w:r>
      <w:r>
        <w:t xml:space="preserve"> </w:t>
      </w:r>
      <w:r>
        <w:rPr>
          <w:bCs/>
          <w:b/>
        </w:rPr>
        <w:t xml:space="preserve">Bogotá</w:t>
      </w:r>
      <w:r>
        <w:t xml:space="preserve">, the role of the optometrist expands beyond simple prescription fulfillment to become a key player in public health education and disease prevention. This report serves as a testament to the high standards of care achievable through dedicated clinical practice and continuous professional development.</w:t>
      </w:r>
    </w:p>
    <w:p>
      <w:pPr>
        <w:pStyle w:val="BodyText"/>
      </w:pPr>
      <w:r>
        <w:rPr>
          <w:bCs/>
          <w:b/>
        </w:rPr>
        <w:t xml:space="preserve">Prepared By:</w:t>
      </w:r>
      <w:r>
        <w:br/>
      </w:r>
      <w:r>
        <w:rPr>
          <w:bCs/>
          <w:b/>
        </w:rPr>
        <w:t xml:space="preserve">Dr. Ana María Rodríguez</w:t>
      </w:r>
      <w:r>
        <w:br/>
      </w:r>
      <w:r>
        <w:rPr>
          <w:bCs/>
          <w:b/>
        </w:rPr>
        <w:t xml:space="preserve">Licensed Optometrist</w:t>
      </w:r>
      <w:r>
        <w:br/>
      </w:r>
      <w:r>
        <w:rPr>
          <w:bCs/>
          <w:b/>
        </w:rPr>
        <w:t xml:space="preserve">Clinica de la Vista Central, Bogotá, Colombia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Optometric Evaluation in Colombia Bogotá</dc:title>
  <dc:creator/>
  <dc:language>en</dc:language>
  <cp:keywords/>
  <dcterms:created xsi:type="dcterms:W3CDTF">2026-07-30T02:21:39Z</dcterms:created>
  <dcterms:modified xsi:type="dcterms:W3CDTF">2026-07-30T02:21:39Z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