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Optometric</w:t>
      </w:r>
      <w:r>
        <w:t xml:space="preserve"> </w:t>
      </w:r>
      <w:r>
        <w:t xml:space="preserve">Evaluation</w:t>
      </w:r>
      <w:r>
        <w:t xml:space="preserve"> </w:t>
      </w:r>
      <w:r>
        <w:t xml:space="preserve">and</w:t>
      </w:r>
      <w:r>
        <w:t xml:space="preserve"> </w:t>
      </w:r>
      <w:r>
        <w:t xml:space="preserve">Diagnostic</w:t>
      </w:r>
      <w:r>
        <w:t xml:space="preserve"> </w:t>
      </w:r>
      <w:r>
        <w:t xml:space="preserve">Standards</w:t>
      </w:r>
      <w:r>
        <w:t xml:space="preserve"> </w:t>
      </w:r>
      <w:r>
        <w:t xml:space="preserve">in</w:t>
      </w:r>
      <w:r>
        <w:t xml:space="preserve"> </w:t>
      </w:r>
      <w:r>
        <w:t xml:space="preserve">Colombia,</w:t>
      </w:r>
      <w:r>
        <w:t xml:space="preserve"> </w:t>
      </w:r>
      <w:r>
        <w:t xml:space="preserve">Medellín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Regional Health Authority of Antioquia / Clinical Board Review</w:t>
      </w:r>
    </w:p>
    <w:p>
      <w:pPr>
        <w:pStyle w:val="BodyText"/>
      </w:pPr>
      <w:r>
        <w:t xml:space="preserve">From:: Senior Optometric Research Division</w:t>
      </w:r>
    </w:p>
    <w:bookmarkStart w:id="20" w:name="X2de4e776b26da13e4ec725dcb7d74008fb9791a"/>
    <w:p>
      <w:pPr>
        <w:pStyle w:val="Heading1"/>
      </w:pPr>
      <w:r>
        <w:t xml:space="preserve">Laboratory Report: Comprehensive Optometric Evaluation and Diagnostic Standards in Colombia, Medellín</w:t>
      </w:r>
    </w:p>
    <w:bookmarkEnd w:id="20"/>
    <w:bookmarkStart w:id="21" w:name="executive-summary-and-introduction"/>
    <w:p>
      <w:pPr>
        <w:pStyle w:val="Heading2"/>
      </w:pPr>
      <w:r>
        <w:t xml:space="preserve">1. Executive Summary and Introduction</w:t>
      </w:r>
    </w:p>
    <w:p>
      <w:pPr>
        <w:pStyle w:val="FirstParagraph"/>
      </w:pPr>
      <w:r>
        <w:t xml:space="preserve">This laboratory report serves as a comprehensive documentation of the current optometric practices, diagnostic methodologies, and clinical outcomes observed within the healthcare infrastructure of</w:t>
      </w:r>
      <w:r>
        <w:t xml:space="preserve"> </w:t>
      </w:r>
      <w:r>
        <w:rPr>
          <w:bCs/>
          <w:b/>
        </w:rPr>
        <w:t xml:space="preserve">Colombia Medellín</w:t>
      </w:r>
      <w:r>
        <w:t xml:space="preserve">. The primary objective of this study is to evaluate the efficacy of modern</w:t>
      </w:r>
      <w:r>
        <w:t xml:space="preserve"> </w:t>
      </w:r>
      <w:r>
        <w:rPr>
          <w:bCs/>
          <w:b/>
        </w:rPr>
        <w:t xml:space="preserve">Optometrist</w:t>
      </w:r>
      <w:r>
        <w:t xml:space="preserve"> </w:t>
      </w:r>
      <w:r>
        <w:t xml:space="preserve">interventions in addressing both common refractive errors and emerging public health concerns related to ocular wellness. As a major economic and cultural hub, Medellín presents a unique demographic profile where urbanization, digital screen exposure, and varying socioeconomic factors converge. Consequently, the role of the</w:t>
      </w:r>
      <w:r>
        <w:t xml:space="preserve"> </w:t>
      </w:r>
      <w:r>
        <w:rPr>
          <w:bCs/>
          <w:b/>
        </w:rPr>
        <w:t xml:space="preserve">Optometrist</w:t>
      </w:r>
      <w:r>
        <w:t xml:space="preserve"> </w:t>
      </w:r>
      <w:r>
        <w:t xml:space="preserve">extends beyond simple prescription issuance to include critical preventive care, early detection of systemic diseases through ocular manifestations, and patient education tailored to the local context.</w:t>
      </w:r>
    </w:p>
    <w:p>
      <w:pPr>
        <w:pStyle w:val="BodyText"/>
      </w:pPr>
      <w:r>
        <w:t xml:space="preserve">The significance of this report lies in its focus on standardizing high-quality eye care within</w:t>
      </w:r>
      <w:r>
        <w:t xml:space="preserve"> </w:t>
      </w:r>
      <w:r>
        <w:rPr>
          <w:bCs/>
          <w:b/>
        </w:rPr>
        <w:t xml:space="preserve">Colombia Medellín</w:t>
      </w:r>
      <w:r>
        <w:t xml:space="preserve">. By establishing a robust framework for clinical assessment, we aim to enhance the visibility of optometric services as an essential component of primary healthcare. This document details the laboratory protocols employed, the specific equipment utilized, and the statistical analysis of patient data gathered from multiple clinics across different municipalities within</w:t>
      </w:r>
      <w:r>
        <w:t xml:space="preserve"> </w:t>
      </w:r>
      <w:r>
        <w:rPr>
          <w:bCs/>
          <w:b/>
        </w:rPr>
        <w:t xml:space="preserve">Colombia Medellín</w:t>
      </w:r>
      <w:r>
        <w:t xml:space="preserve">.</w:t>
      </w:r>
    </w:p>
    <w:bookmarkEnd w:id="21"/>
    <w:bookmarkStart w:id="22" w:name="methodology-and-laboratory-protocol"/>
    <w:p>
      <w:pPr>
        <w:pStyle w:val="Heading2"/>
      </w:pPr>
      <w:r>
        <w:t xml:space="preserve">2. Methodology and Laboratory Protocol</w:t>
      </w:r>
    </w:p>
    <w:p>
      <w:pPr>
        <w:pStyle w:val="FirstParagraph"/>
      </w:pPr>
      <w:r>
        <w:t xml:space="preserve">The research methodology adopted for this study involved a longitudinal observational design conducted over a period of six months. Data was collected from five distinct optical laboratories located in strategic areas of</w:t>
      </w:r>
      <w:r>
        <w:t xml:space="preserve"> </w:t>
      </w:r>
      <w:r>
        <w:rPr>
          <w:bCs/>
          <w:b/>
        </w:rPr>
        <w:t xml:space="preserve">Colombia Medellín</w:t>
      </w:r>
      <w:r>
        <w:t xml:space="preserve">, including El Poblado, Laureles, and Envigado. Each participating laboratory adhered to strict protocols mandated by the Colombian Ministry of Health and the National Commission of Labor Risk (STPS) regarding occupational health for eye care professionals.</w:t>
      </w:r>
    </w:p>
    <w:p>
      <w:pPr>
        <w:pStyle w:val="BodyText"/>
      </w:pPr>
      <w:r>
        <w:t xml:space="preserve">The core function of each</w:t>
      </w:r>
      <w:r>
        <w:t xml:space="preserve"> </w:t>
      </w:r>
      <w:r>
        <w:rPr>
          <w:bCs/>
          <w:b/>
        </w:rPr>
        <w:t xml:space="preserve">Optometrist</w:t>
      </w:r>
      <w:r>
        <w:t xml:space="preserve"> </w:t>
      </w:r>
      <w:r>
        <w:t xml:space="preserve">involved in this study was standardized through rigorous training modules focused on biometry, retinal imaging, and dry eye analysis. The laboratory environment was calibrated daily to ensure accuracy in measurements such as intraocular pressure (IOP), corneal topography, and axial length measurements. Patient consent forms were translated into accessible Spanish dialects prevalent in</w:t>
      </w:r>
      <w:r>
        <w:t xml:space="preserve"> </w:t>
      </w:r>
      <w:r>
        <w:rPr>
          <w:bCs/>
          <w:b/>
        </w:rPr>
        <w:t xml:space="preserve">Colombia Medellín</w:t>
      </w:r>
      <w:r>
        <w:t xml:space="preserve"> </w:t>
      </w:r>
      <w:r>
        <w:t xml:space="preserve">to ensure full comprehension of the procedures involved.</w:t>
      </w:r>
    </w:p>
    <w:p>
      <w:pPr>
        <w:pStyle w:val="BodyText"/>
      </w:pPr>
      <w:r>
        <w:t xml:space="preserve">Data collection instruments included digital autorefractors, slit-lamp biomicroscopes equipped with high-resolution cameras, and OCT (Optical Coherence Tomography) devices. All patient data was anonymized and stored in compliance with Law 1581 of 2012 regarding the protection of personal data in</w:t>
      </w:r>
      <w:r>
        <w:t xml:space="preserve"> </w:t>
      </w:r>
      <w:r>
        <w:rPr>
          <w:bCs/>
          <w:b/>
        </w:rPr>
        <w:t xml:space="preserve">Colombia Medellín</w:t>
      </w:r>
      <w:r>
        <w:t xml:space="preserve">. This ethical consideration ensures that the privacy of individuals seeking care from an</w:t>
      </w:r>
      <w:r>
        <w:t xml:space="preserve"> </w:t>
      </w:r>
      <w:r>
        <w:rPr>
          <w:bCs/>
          <w:b/>
        </w:rPr>
        <w:t xml:space="preserve">Optometrist</w:t>
      </w:r>
      <w:r>
        <w:t xml:space="preserve"> </w:t>
      </w:r>
      <w:r>
        <w:t xml:space="preserve">is maintained at all times.</w:t>
      </w:r>
    </w:p>
    <w:bookmarkEnd w:id="22"/>
    <w:bookmarkStart w:id="23" w:name="Xc5aa74eb512073f021d7f9bd839ff17d318b95b"/>
    <w:p>
      <w:pPr>
        <w:pStyle w:val="Heading2"/>
      </w:pPr>
      <w:r>
        <w:t xml:space="preserve">3. Clinical Findings and Demographic Analysis</w:t>
      </w:r>
    </w:p>
    <w:p>
      <w:pPr>
        <w:pStyle w:val="FirstParagraph"/>
      </w:pPr>
      <w:r>
        <w:t xml:space="preserve">The study analyzed a total of 4,500 patient records. The demographic breakdown revealed a significant increase in myopia rates among school-aged children between 6 and 12 years old, a trend correlated with increased academic pressure and early exposure to digital devices in</w:t>
      </w:r>
      <w:r>
        <w:t xml:space="preserve"> </w:t>
      </w:r>
      <w:r>
        <w:rPr>
          <w:bCs/>
          <w:b/>
        </w:rPr>
        <w:t xml:space="preserve">Colombia Medellín</w:t>
      </w:r>
      <w:r>
        <w:t xml:space="preserve">. Specifically, 42% of the pediatric cohort presented with moderate to high myopia, necessitating early intervention by their treating</w:t>
      </w:r>
      <w:r>
        <w:t xml:space="preserve"> </w:t>
      </w:r>
      <w:r>
        <w:rPr>
          <w:bCs/>
          <w:b/>
        </w:rPr>
        <w:t xml:space="preserve">Optometrist</w:t>
      </w:r>
      <w:r>
        <w:t xml:space="preserve">.</w:t>
      </w:r>
    </w:p>
    <w:p>
      <w:pPr>
        <w:pStyle w:val="BodyText"/>
      </w:pPr>
      <w:r>
        <w:t xml:space="preserve">Clinical Category</w:t>
      </w:r>
    </w:p>
    <w:p>
      <w:pPr>
        <w:pStyle w:val="BodyText"/>
      </w:pPr>
      <w:r>
        <w:t xml:space="preserve">Prevalence (%)</w:t>
      </w:r>
    </w:p>
    <w:p>
      <w:pPr>
        <w:pStyle w:val="BodyText"/>
      </w:pPr>
      <w:r>
        <w:t xml:space="preserve">% of Total Patients in Colombia Medellín</w:t>
      </w:r>
    </w:p>
    <w:p>
      <w:pPr>
        <w:pStyle w:val="BodyText"/>
      </w:pPr>
      <w:r>
        <w:t xml:space="preserve">Spherical Myopia</w:t>
      </w:r>
    </w:p>
    <w:p>
      <w:pPr>
        <w:pStyle w:val="BodyText"/>
      </w:pPr>
      <w:r>
        <w:t xml:space="preserve">38%</w:t>
      </w:r>
    </w:p>
    <w:p>
      <w:pPr>
        <w:pStyle w:val="BodyText"/>
      </w:pPr>
      <w:r>
        <w:t xml:space="preserve">Dominant Refractive Error in Youth</w:t>
      </w:r>
    </w:p>
    <w:p>
      <w:pPr>
        <w:pStyle w:val="BodyText"/>
      </w:pPr>
      <w:r>
        <w:t xml:space="preserve">&gt;</w:t>
      </w:r>
    </w:p>
    <w:p>
      <w:pPr>
        <w:pStyle w:val="BodyText"/>
      </w:pPr>
      <w:r>
        <w:t xml:space="preserve">Hyperopia</w:t>
      </w:r>
    </w:p>
    <w:p>
      <w:pPr>
        <w:pStyle w:val="BodyText"/>
      </w:pPr>
      <w:r>
        <w:t xml:space="preserve">"</w:t>
      </w:r>
      <w:r>
        <w:rPr>
          <w:bCs/>
          <w:b/>
        </w:rPr>
        <w:t xml:space="preserve">"Colombia Medellín"Adult Population)</w:t>
      </w:r>
    </w:p>
    <w:p>
      <w:pPr>
        <w:pStyle w:val="BodyText"/>
      </w:pPr>
      <w:r>
        <w:t xml:space="preserve">&gt;</w:t>
      </w:r>
    </w:p>
    <w:p>
      <w:pPr>
        <w:pStyle w:val="BodyText"/>
      </w:pPr>
      <w:r>
        <w:t xml:space="preserve">Astigmatism (Mixed)</w:t>
      </w:r>
    </w:p>
    <w:p>
      <w:pPr>
        <w:pStyle w:val="BodyText"/>
      </w:pPr>
      <w:r>
        <w:t xml:space="preserve">25%</w:t>
      </w:r>
    </w:p>
    <w:p>
      <w:pPr>
        <w:pStyle w:val="BodyText"/>
      </w:pPr>
      <w:r>
        <w:t xml:space="preserve">Persistent across all age groups</w:t>
      </w:r>
    </w:p>
    <w:p>
      <w:pPr>
        <w:pStyle w:val="BodyText"/>
      </w:pPr>
      <w:r>
        <w:t xml:space="preserve">"</w:t>
      </w:r>
      <w:r>
        <w:t xml:space="preserve">Dry Eye Syndrome</w:t>
      </w:r>
    </w:p>
    <w:p>
      <w:pPr>
        <w:pStyle w:val="BodyText"/>
      </w:pPr>
      <w:r>
        <w:t xml:space="preserve">"</w:t>
      </w:r>
    </w:p>
    <w:p>
      <w:pPr>
        <w:pStyle w:val="BodyText"/>
      </w:pPr>
      <w:r>
        <w:t xml:space="preserve">Cataracts (Early Stage)</w:t>
      </w:r>
    </w:p>
    <w:p>
      <w:pPr>
        <w:pStyle w:val="BodyText"/>
      </w:pPr>
      <w:r>
        <w:t xml:space="preserve">&gt;</w:t>
      </w:r>
    </w:p>
    <w:p>
      <w:pPr>
        <w:pStyle w:val="BodyText"/>
      </w:pPr>
      <w:r>
        <w:t xml:space="preserve">A critical finding was the rising prevalence of Digital Eye Strain (DES) among working adults in</w:t>
      </w:r>
      <w:r>
        <w:t xml:space="preserve"> </w:t>
      </w:r>
      <w:r>
        <w:rPr>
          <w:bCs/>
          <w:b/>
        </w:rPr>
        <w:t xml:space="preserve">Colombia Medellín</w:t>
      </w:r>
      <w:r>
        <w:t xml:space="preserve">. Approximately 60% of adult patients reported symptoms such as blurred vision, headaches, and neck pain after prolonged computer use. This underscores the necessity for</w:t>
      </w:r>
      <w:r>
        <w:t xml:space="preserve"> </w:t>
      </w:r>
      <w:r>
        <w:rPr>
          <w:bCs/>
          <w:b/>
        </w:rPr>
        <w:t xml:space="preserve">Optometrist</w:t>
      </w:r>
      <w:r>
        <w:t xml:space="preserve">-led education on the 20-20-20 rule and ergonomic adjustments in workplace environments. Furthermore, early-stage glaucoma detection remains a priority, with automated screening programs identifying at-risk individuals before irreversible damage occurred.</w:t>
      </w:r>
    </w:p>
    <w:bookmarkEnd w:id="23"/>
    <w:bookmarkStart w:id="24" w:name="Xbd5d48889ddb7b4bde4adcf8bbd2c7234862810"/>
    <w:p>
      <w:pPr>
        <w:pStyle w:val="Heading2"/>
      </w:pPr>
      <w:r>
        <w:t xml:space="preserve">4. The Role of the Optometrist in Public Health</w:t>
      </w:r>
    </w:p>
    <w:p>
      <w:pPr>
        <w:pStyle w:val="FirstParagraph"/>
      </w:pPr>
      <w:r>
        <w:t xml:space="preserve">In the context of</w:t>
      </w:r>
      <w:r>
        <w:t xml:space="preserve"> </w:t>
      </w:r>
      <w:r>
        <w:rPr>
          <w:bCs/>
          <w:b/>
        </w:rPr>
        <w:t xml:space="preserve">Colombia Medellín</w:t>
      </w:r>
      <w:r>
        <w:t xml:space="preserve">, the</w:t>
      </w:r>
    </w:p>
    <w:p>
      <w:pPr>
        <w:pStyle w:val="BodyText"/>
      </w:pPr>
      <w:r>
        <w:t xml:space="preserve">Optometrist</w:t>
      </w:r>
    </w:p>
    <w:p>
      <w:pPr>
        <w:pStyle w:val="BodyText"/>
      </w:pPr>
      <w:r>
        <w:t xml:space="preserve">"</w:t>
      </w:r>
    </w:p>
    <w:p>
      <w:pPr>
        <w:pStyle w:val="BodyText"/>
      </w:pPr>
      <w:r>
        <w:t xml:space="preserve">Professional Scope"Strong&gt;</w:t>
      </w:r>
    </w:p>
    <w:p>
      <w:pPr>
        <w:pStyle w:val="BodyText"/>
      </w:pPr>
      <w:r>
        <w:t xml:space="preserve">Community Impact"</w:t>
      </w:r>
    </w:p>
    <w:p>
      <w:pPr>
        <w:pStyle w:val="BodyText"/>
      </w:pPr>
      <w:r>
        <w:t xml:space="preserve">"</w:t>
      </w:r>
      <w:r>
        <w:br/>
      </w:r>
      <w:r>
        <w:t xml:space="preserve">The integration of optometric services into primary health centers in</w:t>
      </w:r>
      <w:r>
        <w:t xml:space="preserve"> </w:t>
      </w:r>
      <w:r>
        <w:rPr>
          <w:bCs/>
          <w:b/>
        </w:rPr>
        <w:t xml:space="preserve">Colombia Medellín</w:t>
      </w:r>
      <w:r>
        <w:t xml:space="preserve"> </w:t>
      </w:r>
      <w:r>
        <w:t xml:space="preserve">has demonstrated a positive correlation with overall public health outcomes. By detecting ocular markers of hypertension and diabetes, an</w:t>
      </w:r>
    </w:p>
    <w:p>
      <w:pPr>
        <w:pStyle w:val="BodyText"/>
      </w:pPr>
      <w:r>
        <w:t xml:space="preserve">Optometrist</w:t>
      </w:r>
    </w:p>
    <w:p>
      <w:pPr>
        <w:pStyle w:val="BodyText"/>
      </w:pPr>
      <w:r>
        <w:t xml:space="preserve">"</w:t>
      </w:r>
    </w:p>
    <w:p>
      <w:pPr>
        <w:pStyle w:val="BodyText"/>
      </w:pPr>
      <w:r>
        <w:t xml:space="preserve">Collaborative Care"Strong&gt;</w:t>
      </w:r>
      <w:r>
        <w:br/>
      </w:r>
      <w:r>
        <w:t xml:space="preserve">In conclusion, this laboratory report affirms that the structured implementation of advanced optometric practices in</w:t>
      </w:r>
      <w:r>
        <w:t xml:space="preserve"> </w:t>
      </w:r>
      <w:r>
        <w:rPr>
          <w:bCs/>
          <w:b/>
        </w:rPr>
        <w:t xml:space="preserve">Colombia Medellín</w:t>
      </w:r>
      <w:r>
        <w:t xml:space="preserve"> </w:t>
      </w:r>
      <w:r>
        <w:t xml:space="preserve">is vital for addressing contemporary visual health challenges. The data clearly indicates that an empowered and technically proficient</w:t>
      </w:r>
    </w:p>
    <w:p>
      <w:pPr>
        <w:pStyle w:val="BodyText"/>
      </w:pPr>
      <w:r>
        <w:t xml:space="preserve">Optometrist</w:t>
      </w:r>
    </w:p>
    <w:p>
      <w:pPr>
        <w:pStyle w:val="BodyText"/>
      </w:pPr>
      <w:r>
        <w:t xml:space="preserve">"</w:t>
      </w:r>
      <w:r>
        <w:br/>
      </w:r>
      <w:r>
        <w:rPr>
          <w:iCs/>
          <w:i/>
        </w:rPr>
        <w:t xml:space="preserve">Note: This document serves as a formal record for institutional review and future policy planning regarding eye care standards in the region.</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Optometric Evaluation and Diagnostic Standards in Colombia, Medellín</dc:title>
  <dc:creator/>
  <cp:keywords/>
  <dcterms:created xsi:type="dcterms:W3CDTF">2026-07-29T12:28:40Z</dcterms:created>
  <dcterms:modified xsi:type="dcterms:W3CDTF">2026-07-29T12:28:40Z</dcterms:modified>
</cp:coreProperties>
</file>

<file path=docProps/custom.xml><?xml version="1.0" encoding="utf-8"?>
<Properties xmlns="http://schemas.openxmlformats.org/officeDocument/2006/custom-properties" xmlns:vt="http://schemas.openxmlformats.org/officeDocument/2006/docPropsVTypes"/>
</file>