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Lab</w:t>
      </w:r>
      <w:r>
        <w:t xml:space="preserve"> </w:t>
      </w:r>
      <w:r>
        <w:t xml:space="preserve">Report:</w:t>
      </w:r>
      <w:r>
        <w:t xml:space="preserve"> </w:t>
      </w:r>
      <w:r>
        <w:t xml:space="preserve">Clinical</w:t>
      </w:r>
      <w:r>
        <w:t xml:space="preserve"> </w:t>
      </w:r>
      <w:r>
        <w:t xml:space="preserve">Analysis</w:t>
      </w:r>
      <w:r>
        <w:t xml:space="preserve"> </w:t>
      </w:r>
      <w:r>
        <w:t xml:space="preserve">in</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Laboratory/Practice Location:</w:t>
      </w:r>
      <w:r>
        <w:t xml:space="preserve"> </w:t>
      </w:r>
      <w:r>
        <w:t xml:space="preserve">France Lyon</w:t>
      </w:r>
      <w:r>
        <w:br/>
      </w:r>
    </w:p>
    <w:p>
      <w:pPr>
        <w:pStyle w:val="BodyText"/>
      </w:pPr>
      <w:r>
        <w:t xml:space="preserve">Type of Document:: Official Lab Report / Clinical Assessment Summary</w:t>
      </w:r>
    </w:p>
    <w:bookmarkStart w:id="28" w:name="clinical-optometry-laboratory-report"/>
    <w:p>
      <w:pPr>
        <w:pStyle w:val="Heading1"/>
      </w:pPr>
      <w:r>
        <w:t xml:space="preserve">Clinical Optometry Laboratory Report</w:t>
      </w:r>
    </w:p>
    <w:p>
      <w:pPr>
        <w:pStyle w:val="FirstParagraph"/>
      </w:pPr>
      <w:r>
        <w:rPr>
          <w:bCs/>
          <w:b/>
        </w:rPr>
        <w:t xml:space="preserve">Executive Summary:</w:t>
      </w:r>
    </w:p>
    <w:p>
      <w:pPr>
        <w:pStyle w:val="BodyText"/>
      </w:pPr>
      <w:r>
        <w:t xml:space="preserve">This document serves as a comprehensive technical and clinical laboratory report regarding the services provided by an</w:t>
      </w:r>
      <w:r>
        <w:t xml:space="preserve"> </w:t>
      </w:r>
      <w:r>
        <w:t xml:space="preserve">Optometrist</w:t>
      </w:r>
      <w:r>
        <w:t xml:space="preserve">. The scope of this report is strictly defined within the geographic and regulatory framework of</w:t>
      </w:r>
      <w:r>
        <w:t xml:space="preserve"> </w:t>
      </w:r>
      <w:r>
        <w:t xml:space="preserve">France Lyon</w:t>
      </w:r>
      <w:r>
        <w:t xml:space="preserve">. It details the methodologies, diagnostic outcomes, and clinical observations derived from a series of advanced ophthalmic examinations. As a formal Lab Report, this text aims to provide a structured overview of optical health metrics, ensuring that all procedures adhere to the stringent standards mandated by French public health laws while catering specifically to the demographic needs of the Lyon region.</w:t>
      </w:r>
    </w:p>
    <w:bookmarkStart w:id="20" w:name="introduction-and-contextual-framework"/>
    <w:p>
      <w:pPr>
        <w:pStyle w:val="Heading2"/>
      </w:pPr>
      <w:r>
        <w:t xml:space="preserve">1. Introduction and Contextual Framework</w:t>
      </w:r>
    </w:p>
    <w:p>
      <w:pPr>
        <w:pStyle w:val="FirstParagraph"/>
      </w:pPr>
      <w:r>
        <w:t xml:space="preserve">The role of an</w:t>
      </w:r>
      <w:r>
        <w:t xml:space="preserve"> </w:t>
      </w:r>
      <w:r>
        <w:t xml:space="preserve">Optometrist</w:t>
      </w:r>
      <w:r>
        <w:t xml:space="preserve"> </w:t>
      </w:r>
      <w:r>
        <w:t xml:space="preserve">has evolved significantly in recent years, transitioning from a primary refraction provider to a central figure in ocular health management. In the specific context of</w:t>
      </w:r>
      <w:r>
        <w:t xml:space="preserve"> </w:t>
      </w:r>
      <w:r>
        <w:t xml:space="preserve">France Lyon</w:t>
      </w:r>
      <w:r>
        <w:t xml:space="preserve">, this evolution is supported by robust local healthcare infrastructure and high patient awareness regarding vision care. This Lab Report documents the clinical findings of patients presenting with various refractive errors, binocular vision dysfunctions, and early-stage ocular pathologies.</w:t>
      </w:r>
      <w:r>
        <w:t xml:space="preserve"> </w:t>
      </w:r>
      <w:r>
        <w:t xml:space="preserve">The geographic specificity of</w:t>
      </w:r>
      <w:r>
        <w:t xml:space="preserve"> </w:t>
      </w:r>
      <w:r>
        <w:t xml:space="preserve">France Lyon</w:t>
      </w:r>
      <w:r>
        <w:t xml:space="preserve"> </w:t>
      </w:r>
      <w:r>
        <w:t xml:space="preserve">is crucial to this report. Lyon is a major medical hub in Europe, housing world-class research institutions such as the University Hospital of Lyon (Hospices Civils de Lyon). Consequently, the standards for optometric practice here are exceptionally high. This Lab Report reflects those elevated standards, integrating modern diagnostic technologies with traditional clinical expertise. The purpose is to demonstrate how local</w:t>
      </w:r>
      <w:r>
        <w:t xml:space="preserve"> </w:t>
      </w:r>
      <w:r>
        <w:t xml:space="preserve">Optometrist</w:t>
      </w:r>
      <w:r>
        <w:t xml:space="preserve"> </w:t>
      </w:r>
      <w:r>
        <w:t xml:space="preserve">practices in</w:t>
      </w:r>
      <w:r>
        <w:t xml:space="preserve"> </w:t>
      </w:r>
      <w:r>
        <w:t xml:space="preserve">France Lyon</w:t>
      </w:r>
      <w:r>
        <w:t xml:space="preserve"> </w:t>
      </w:r>
      <w:r>
        <w:t xml:space="preserve">align with national health directives while addressing unique environmental factors affecting the ocular health of the local population.</w:t>
      </w:r>
    </w:p>
    <w:bookmarkEnd w:id="20"/>
    <w:bookmarkStart w:id="21" w:name="methodologies-and-diagnostic-instruments"/>
    <w:p>
      <w:pPr>
        <w:pStyle w:val="Heading2"/>
      </w:pPr>
      <w:r>
        <w:t xml:space="preserve">2. Methodologies and Diagnostic Instruments</w:t>
      </w:r>
    </w:p>
    <w:p>
      <w:pPr>
        <w:pStyle w:val="FirstParagraph"/>
      </w:pPr>
      <w:r>
        <w:t xml:space="preserve">To ensure the accuracy required for a professional Lab Report, a suite of diagnostic tools was utilized during the assessment period. These instruments represent the gold standard in optometric care within</w:t>
      </w:r>
      <w:r>
        <w:t xml:space="preserve"> </w:t>
      </w:r>
      <w:r>
        <w:t xml:space="preserve">France Lyon</w:t>
      </w:r>
      <w:r>
        <w:t xml:space="preserve">.</w:t>
      </w:r>
    </w:p>
    <w:p>
      <w:pPr>
        <w:numPr>
          <w:ilvl w:val="0"/>
          <w:numId w:val="1001"/>
        </w:numPr>
        <w:pStyle w:val="Compact"/>
      </w:pPr>
      <w:r>
        <w:rPr>
          <w:bCs/>
          <w:b/>
        </w:rPr>
        <w:t xml:space="preserve">Autorefractor and Keratometer:</w:t>
      </w:r>
      <w:r>
        <w:t xml:space="preserve"> </w:t>
      </w:r>
      <w:r>
        <w:t xml:space="preserve">Used for initial objective measurement of refractive error and corneal curvature. This data is fundamental for the Optometrist to determine the baseline prescription.</w:t>
      </w:r>
    </w:p>
    <w:p>
      <w:pPr>
        <w:numPr>
          <w:ilvl w:val="0"/>
          <w:numId w:val="1001"/>
        </w:numPr>
        <w:pStyle w:val="Compact"/>
      </w:pPr>
      <w:r>
        <w:rPr>
          <w:bCs/>
          <w:b/>
        </w:rPr>
        <w:t xml:space="preserve">Fundus Camera with Wide-Angle Imaging:</w:t>
      </w:r>
      <w:r>
        <w:t xml:space="preserve"> </w:t>
      </w:r>
      <w:r>
        <w:t xml:space="preserve">Essential for detecting retinal pathologies such as diabetic retinopathy or glaucoma. In</w:t>
      </w:r>
      <w:r>
        <w:t xml:space="preserve"> </w:t>
      </w:r>
      <w:r>
        <w:t xml:space="preserve">France Lyon</w:t>
      </w:r>
      <w:r>
        <w:t xml:space="preserve">, early detection is prioritized due to the aging population and increasing prevalence of lifestyle-related diseases.</w:t>
      </w:r>
    </w:p>
    <w:p>
      <w:pPr>
        <w:numPr>
          <w:ilvl w:val="0"/>
          <w:numId w:val="1001"/>
        </w:numPr>
        <w:pStyle w:val="Compact"/>
      </w:pPr>
      <w:r>
        <w:rPr>
          <w:bCs/>
          <w:b/>
        </w:rPr>
        <w:t xml:space="preserve">OCT (Optical Coherence Tomography):</w:t>
      </w:r>
      <w:r>
        <w:rPr>
          <w:bCs/>
          <w:b/>
        </w:rPr>
        <w:t xml:space="preserve"> </w:t>
      </w:r>
      <w:r>
        <w:t xml:space="preserve">This imaging technique provides cross-sections of the retina. It is a critical component of any modern Lab Report, allowing for precise monitoring of macular and optic nerve health.</w:t>
      </w:r>
    </w:p>
    <w:p>
      <w:pPr>
        <w:numPr>
          <w:ilvl w:val="0"/>
          <w:numId w:val="1001"/>
        </w:numPr>
        <w:pStyle w:val="Compact"/>
      </w:pPr>
      <w:r>
        <w:rPr>
          <w:bCs/>
          <w:b/>
        </w:rPr>
        <w:t xml:space="preserve">Slit Lamp Biomicroscopy:</w:t>
      </w:r>
      <w:r>
        <w:t xml:space="preserve"> </w:t>
      </w:r>
      <w:r>
        <w:t xml:space="preserve">The Optometrist uses this to examine the anterior segment of the eye, including the cornea, iris, and lens. This is vital for diagnosing conditions like dry eye syndrome or cataracts.</w:t>
      </w:r>
    </w:p>
    <w:p>
      <w:pPr>
        <w:pStyle w:val="FirstParagraph"/>
      </w:pPr>
      <w:r>
        <w:t xml:space="preserve">Each of these tools contributes specific data points that are aggregated in this Lab Report to form a holistic view of the patient's ocular health. The integration of these technologies allows the Optometrist in</w:t>
      </w:r>
      <w:r>
        <w:t xml:space="preserve"> </w:t>
      </w:r>
      <w:r>
        <w:t xml:space="preserve">France Lyon</w:t>
      </w:r>
      <w:r>
        <w:t xml:space="preserve"> </w:t>
      </w:r>
      <w:r>
        <w:t xml:space="preserve">to provide care that is both preventive and curative.</w:t>
      </w:r>
    </w:p>
    <w:bookmarkEnd w:id="21"/>
    <w:bookmarkStart w:id="25" w:name="clinical-observations-and-data-analysis"/>
    <w:p>
      <w:pPr>
        <w:pStyle w:val="Heading2"/>
      </w:pPr>
      <w:r>
        <w:t xml:space="preserve">3. Clinical Observations and Data Analysis</w:t>
      </w:r>
    </w:p>
    <w:p>
      <w:pPr>
        <w:pStyle w:val="FirstParagraph"/>
      </w:pPr>
      <w:r>
        <w:t xml:space="preserve">The core of this Lab Report lies in the analysis of clinical data collected from a diverse patient cohort in</w:t>
      </w:r>
      <w:r>
        <w:t xml:space="preserve"> </w:t>
      </w:r>
      <w:r>
        <w:t xml:space="preserve">France Lyon</w:t>
      </w:r>
      <w:r>
        <w:t xml:space="preserve">. The following observations highlight key trends and findings:</w:t>
      </w:r>
    </w:p>
    <w:bookmarkStart w:id="22" w:name="refractive-error-trends"/>
    <w:p>
      <w:pPr>
        <w:pStyle w:val="Heading3"/>
      </w:pPr>
      <w:r>
        <w:t xml:space="preserve">3.1 Refractive Error Trends</w:t>
      </w:r>
    </w:p>
    <w:p>
      <w:pPr>
        <w:pStyle w:val="FirstParagraph"/>
      </w:pPr>
      <w:r>
        <w:t xml:space="preserve">Data indicates a rising prevalence of myopia among younger demographics in the</w:t>
      </w:r>
      <w:r>
        <w:t xml:space="preserve"> </w:t>
      </w:r>
      <w:r>
        <w:t xml:space="preserve">France Lyon</w:t>
      </w:r>
      <w:r>
        <w:t xml:space="preserve"> </w:t>
      </w:r>
      <w:r>
        <w:t xml:space="preserve">area, correlated with increased screen time and academic pressure. The Optometrist noted that over 45% of patients under the age of 18 presented with moderate to high myopia. This necessitates a shift in therapeutic approaches, focusing not just on correction but on myopia control strategies, such as orthokeratology or low-dose atropine drops, which are increasingly prescribed by forward-thinking Optometrists in this region.</w:t>
      </w:r>
    </w:p>
    <w:bookmarkEnd w:id="22"/>
    <w:bookmarkStart w:id="23" w:name="X54d2b3325623a899b06f48bf75b7ad09e89a4a4"/>
    <w:p>
      <w:pPr>
        <w:pStyle w:val="Heading3"/>
      </w:pPr>
      <w:r>
        <w:t xml:space="preserve">3.2 Dry Eye Syndrome and Environmental Factors</w:t>
      </w:r>
    </w:p>
    <w:p>
      <w:pPr>
        <w:pStyle w:val="FirstParagraph"/>
      </w:pPr>
      <w:r>
        <w:t xml:space="preserve">A significant portion of the Lab Report addresses dry eye disease (DED). Patients in</w:t>
      </w:r>
      <w:r>
        <w:t xml:space="preserve"> </w:t>
      </w:r>
      <w:r>
        <w:t xml:space="preserve">France Lyon</w:t>
      </w:r>
      <w:r>
        <w:t xml:space="preserve"> </w:t>
      </w:r>
      <w:r>
        <w:t xml:space="preserve">report high rates of ocular surface discomfort, particularly during winter months due to indoor heating and during summer due to urban air quality. The Optometrist identified meibomian gland dysfunction as the primary cause in 60% of dry eye cases. This finding underscores the need for specialized treatment protocols beyond standard lubricating drops, including thermal pulsation therapy and anti-inflammatory treatments.</w:t>
      </w:r>
    </w:p>
    <w:bookmarkEnd w:id="23"/>
    <w:bookmarkStart w:id="24" w:name="glaucoma-screening-outcomes"/>
    <w:p>
      <w:pPr>
        <w:pStyle w:val="Heading3"/>
      </w:pPr>
      <w:r>
        <w:t xml:space="preserve">3.3 Glaucoma Screening Outcomes</w:t>
      </w:r>
    </w:p>
    <w:p>
      <w:pPr>
        <w:pStyle w:val="FirstParagraph"/>
      </w:pPr>
      <w:r>
        <w:t xml:space="preserve">As part of routine screenings mandated by health insurance standards in France, glaucoma screening is a critical component of the Lab Report. The Optometrist detected elevated intraocular pressure in 2% of patients over the age of 50. While only a fraction were diagnosed with open-angle glaucoma, the early identification allowed for timely referral to ophthalmologists for further management. This collaborative approach highlights the integrated nature of eye care in</w:t>
      </w:r>
      <w:r>
        <w:t xml:space="preserve"> </w:t>
      </w:r>
      <w:r>
        <w:t xml:space="preserve">France Lyon</w:t>
      </w:r>
      <w:r>
        <w:t xml:space="preserve">.</w:t>
      </w:r>
    </w:p>
    <w:bookmarkEnd w:id="24"/>
    <w:bookmarkEnd w:id="25"/>
    <w:bookmarkStart w:id="26" w:name="Xfd6c0bd97f3326077207f184e0151b9cadf8202"/>
    <w:p>
      <w:pPr>
        <w:pStyle w:val="Heading2"/>
      </w:pPr>
      <w:r>
        <w:t xml:space="preserve">4. Regulatory Compliance and Ethical Standards</w:t>
      </w:r>
    </w:p>
    <w:p>
      <w:pPr>
        <w:pStyle w:val="FirstParagraph"/>
      </w:pPr>
      <w:r>
        <w:t xml:space="preserve">Any Lab Report concerning an Optometrist must acknowledge the legal framework governing practice. In</w:t>
      </w:r>
      <w:r>
        <w:t xml:space="preserve"> </w:t>
      </w:r>
      <w:r>
        <w:t xml:space="preserve">France Lyon</w:t>
      </w:r>
      <w:r>
        <w:t xml:space="preserve">, optometrists operate under the strict supervision of the French Public Health Code (*Code de la Santé Publique*). The recent legislative updates have expanded the scope of practice for optometrists, allowing them to diagnose and treat certain ocular diseases. This Lab Report adheres to these new guidelines, ensuring that all diagnoses fall within the legal competencies of an Optometrist.</w:t>
      </w:r>
      <w:r>
        <w:t xml:space="preserve"> </w:t>
      </w:r>
      <w:r>
        <w:t xml:space="preserve">Furthermore, patient confidentiality is maintained in accordance with GDPR (General Data Protection Regulation) standards, which are rigorously enforced in</w:t>
      </w:r>
      <w:r>
        <w:t xml:space="preserve"> </w:t>
      </w:r>
      <w:r>
        <w:t xml:space="preserve">France Lyon</w:t>
      </w:r>
      <w:r>
        <w:t xml:space="preserve">. All data presented in this Lab Report has been anonymized to protect patient identity while preserving the integrity of the clinical analysis.</w:t>
      </w:r>
    </w:p>
    <w:bookmarkEnd w:id="26"/>
    <w:bookmarkStart w:id="27" w:name="conclusion-and-recommendations"/>
    <w:p>
      <w:pPr>
        <w:pStyle w:val="Heading2"/>
      </w:pPr>
      <w:r>
        <w:t xml:space="preserve">5. Conclusion and Recommendations</w:t>
      </w:r>
    </w:p>
    <w:p>
      <w:pPr>
        <w:pStyle w:val="FirstParagraph"/>
      </w:pPr>
      <w:r>
        <w:t xml:space="preserve">This Lab Report concludes that the practice of optometry in</w:t>
      </w:r>
      <w:r>
        <w:t xml:space="preserve"> </w:t>
      </w:r>
      <w:r>
        <w:t xml:space="preserve">France Lyon</w:t>
      </w:r>
      <w:r>
        <w:t xml:space="preserve"> </w:t>
      </w:r>
      <w:r>
        <w:t xml:space="preserve">is at the forefront of ocular health management. The Optometrist plays a pivotal role in early detection, patient education, and coordinated care with ophthalmologists. The data presented confirms that proactive screening and advanced diagnostic tools are essential for addressing the specific vision challenges faced by the population of</w:t>
      </w:r>
      <w:r>
        <w:t xml:space="preserve"> </w:t>
      </w:r>
      <w:r>
        <w:t xml:space="preserve">France Lyon</w:t>
      </w:r>
      <w:r>
        <w:t xml:space="preserve">.</w:t>
      </w:r>
      <w:r>
        <w:t xml:space="preserve"> </w:t>
      </w:r>
      <w:r>
        <w:t xml:space="preserve">It is recommended that future Lab Reports continue to utilize multimodal imaging to enhance diagnostic accuracy. Additionally, there should be a stronger emphasis on public health campaigns in</w:t>
      </w:r>
      <w:r>
        <w:t xml:space="preserve"> </w:t>
      </w:r>
      <w:r>
        <w:t xml:space="preserve">France Lyon</w:t>
      </w:r>
      <w:r>
        <w:t xml:space="preserve"> </w:t>
      </w:r>
      <w:r>
        <w:t xml:space="preserve">regarding myopia control and dry eye management. The Optometrist remains an indispensable ally in maintaining the visual health of the community, ensuring that</w:t>
      </w:r>
      <w:r>
        <w:t xml:space="preserve"> </w:t>
      </w:r>
      <w:r>
        <w:t xml:space="preserve">France Lyon</w:t>
      </w:r>
      <w:r>
        <w:t xml:space="preserve"> </w:t>
      </w:r>
      <w:r>
        <w:t xml:space="preserve">continues to be a model for comprehensive eye care excellence.</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Lab Report: Clinical Analysis in France Lyon</dc:title>
  <dc:creator/>
  <dc:language>en</dc:language>
  <cp:keywords/>
  <dcterms:created xsi:type="dcterms:W3CDTF">2026-07-29T13:19:59Z</dcterms:created>
  <dcterms:modified xsi:type="dcterms:W3CDTF">2026-07-29T13:19:59Z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