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4c6932326af950cf3344fb1b42ea064bb2fc24"/>
    <w:p>
      <w:pPr>
        <w:pStyle w:val="Heading1"/>
      </w:pPr>
      <w:r>
        <w:t xml:space="preserve">Optometric Analysis and Diagnostic Report</w:t>
      </w:r>
    </w:p>
    <w:p>
      <w:pPr>
        <w:pStyle w:val="FirstParagraph"/>
      </w:pPr>
      <w:r>
        <w:rPr>
          <w:bCs/>
          <w:b/>
        </w:rPr>
        <w:t xml:space="preserve">Institution:</w:t>
      </w:r>
      <w:r>
        <w:t xml:space="preserve"> </w:t>
      </w:r>
      <w:r>
        <w:t xml:space="preserve">Charité – Universitätsmedizin Berlin</w:t>
      </w:r>
      <w:r>
        <w:br/>
      </w:r>
      <w:r>
        <w:rPr>
          <w:bCs/>
          <w:b/>
        </w:rPr>
        <w:t xml:space="preserve">District:</w:t>
      </w:r>
      <w:r>
        <w:t xml:space="preserve"> </w:t>
      </w:r>
      <w:r>
        <w:t xml:space="preserve">Mitte, Germany Berlin</w:t>
      </w:r>
      <w:r>
        <w:br/>
      </w:r>
      <w:r>
        <w:rPr>
          <w:bCs/>
          <w:b/>
        </w:rPr>
        <w:t xml:space="preserve">Date of Examination:</w:t>
      </w:r>
      <w:r>
        <w:t xml:space="preserve"> </w:t>
      </w:r>
      <w:r>
        <w:t xml:space="preserve">October 26, 2023</w:t>
      </w:r>
      <w:r>
        <w:br/>
      </w:r>
      <w:r>
        <w:rPr>
          <w:bCs/>
          <w:b/>
        </w:rPr>
        <w:t xml:space="preserve">Patient ID:</w:t>
      </w:r>
      <w:r>
        <w:t xml:space="preserve"> </w:t>
      </w:r>
      <w:r>
        <w:t xml:space="preserve">BER-9948-OPT</w:t>
      </w:r>
    </w:p>
    <w:bookmarkStart w:id="20" w:name="introduction"/>
    <w:p>
      <w:pPr>
        <w:pStyle w:val="Heading2"/>
      </w:pPr>
      <w:r>
        <w:t xml:space="preserve">1. Introduction and Scope of Analysis in the Context of Germany Berlin</w:t>
      </w:r>
    </w:p>
    <w:p>
      <w:pPr>
        <w:pStyle w:val="FirstParagraph"/>
      </w:pPr>
      <w:r>
        <w:t xml:space="preserve">This document serves as a comprehensive laboratory report detailing the results of an extensive optometric evaluation. The examination was conducted within the rigorous medical framework established for healthcare providers operating in Germany Berlin. It is imperative to understand that an optometrist functioning within this specific geographic and regulatory jurisdiction must adhere to strict standards defined by both national German health regulations and local municipal health authority guidelines.</w:t>
      </w:r>
    </w:p>
    <w:p>
      <w:pPr>
        <w:pStyle w:val="BodyText"/>
      </w:pPr>
      <w:r>
        <w:t xml:space="preserve">The role of the</w:t>
      </w:r>
      <w:r>
        <w:t xml:space="preserve"> </w:t>
      </w:r>
      <w:r>
        <w:rPr>
          <w:bCs/>
          <w:b/>
        </w:rPr>
        <w:t xml:space="preserve">Optometrist</w:t>
      </w:r>
      <w:r>
        <w:t xml:space="preserve"> </w:t>
      </w:r>
      <w:r>
        <w:t xml:space="preserve">in modern diagnostics extends beyond simple vision correction; it encompasses a holistic analysis of ocular health, visual perception, and neurological visual processing. This report highlights how these clinical parameters are measured, analyzed, and interpreted within the specific context of</w:t>
      </w:r>
      <w:r>
        <w:t xml:space="preserve"> </w:t>
      </w:r>
      <w:r>
        <w:rPr>
          <w:bCs/>
          <w:b/>
        </w:rPr>
        <w:t xml:space="preserve">Germany Berlin</w:t>
      </w:r>
      <w:r>
        <w:t xml:space="preserve">. The city's dense population structure requires highly efficient yet precise diagnostic protocols to manage the high volume of patients seeking care. Consequently, the methodologies employed here reflect a balance between cutting-edge technology and standardized procedural rigor typical of major German medical institutions.</w:t>
      </w:r>
    </w:p>
    <w:bookmarkEnd w:id="20"/>
    <w:bookmarkStart w:id="21" w:name="methodology"/>
    <w:p>
      <w:pPr>
        <w:pStyle w:val="Heading2"/>
      </w:pPr>
      <w:r>
        <w:t xml:space="preserve">2. Methodology and Equipment Calibration</w:t>
      </w:r>
    </w:p>
    <w:p>
      <w:pPr>
        <w:pStyle w:val="FirstParagraph"/>
      </w:pPr>
      <w:r>
        <w:t xml:space="preserve">All diagnostic procedures described in this report were performed using equipment calibrated according to European Norm (EN) standards, which are strictly enforced by the</w:t>
      </w:r>
      <w:r>
        <w:t xml:space="preserve"> </w:t>
      </w:r>
      <w:r>
        <w:rPr>
          <w:bCs/>
          <w:b/>
        </w:rPr>
        <w:t xml:space="preserve">Germany Berlin</w:t>
      </w:r>
      <w:r>
        <w:t xml:space="preserve"> </w:t>
      </w:r>
      <w:r>
        <w:t xml:space="preserve">health inspection agencies. The primary instruments utilized included:</w:t>
      </w:r>
    </w:p>
    <w:p>
      <w:pPr>
        <w:numPr>
          <w:ilvl w:val="0"/>
          <w:numId w:val="1001"/>
        </w:numPr>
        <w:pStyle w:val="Compact"/>
      </w:pPr>
      <w:r>
        <w:rPr>
          <w:bCs/>
          <w:b/>
        </w:rPr>
        <w:t xml:space="preserve">Digital Phoropter System:</w:t>
      </w:r>
      <w:r>
        <w:t xml:space="preserve"> </w:t>
      </w:r>
      <w:r>
        <w:t xml:space="preserve">Utilized for objective and subjective refraction testing.</w:t>
      </w:r>
    </w:p>
    <w:p>
      <w:pPr>
        <w:numPr>
          <w:ilvl w:val="0"/>
          <w:numId w:val="1001"/>
        </w:numPr>
        <w:pStyle w:val="Compact"/>
      </w:pPr>
      <w:r>
        <w:rPr>
          <w:bCs/>
          <w:b/>
        </w:rPr>
        <w:t xml:space="preserve">OCT (Optical Coherence Tomography):</w:t>
      </w:r>
      <w:r>
        <w:t xml:space="preserve"> </w:t>
      </w:r>
      <w:r>
        <w:t xml:space="preserve">Used for high-resolution cross-sectional imaging of the retina and optic nerve head.</w:t>
      </w:r>
    </w:p>
    <w:p>
      <w:pPr>
        <w:numPr>
          <w:ilvl w:val="0"/>
          <w:numId w:val="1001"/>
        </w:numPr>
        <w:pStyle w:val="Compact"/>
      </w:pPr>
      <w:r>
        <w:rPr>
          <w:bCs/>
          <w:b/>
        </w:rPr>
        <w:t xml:space="preserve">Tonometer (Non-Contact Pneumatonometry):</w:t>
      </w:r>
      <w:r>
        <w:t xml:space="preserve"> </w:t>
      </w:r>
      <w:r>
        <w:t xml:space="preserve">Employed to measure intraocular pressure without physical contact, a hygiene standard prioritized in German clinical settings.</w:t>
      </w:r>
    </w:p>
    <w:p>
      <w:pPr>
        <w:numPr>
          <w:ilvl w:val="0"/>
          <w:numId w:val="1001"/>
        </w:numPr>
        <w:pStyle w:val="Compact"/>
      </w:pPr>
      <w:r>
        <w:rPr>
          <w:bCs/>
          <w:b/>
        </w:rPr>
        <w:t xml:space="preserve">Autokeratometer:</w:t>
      </w:r>
      <w:r>
        <w:t xml:space="preserve"> </w:t>
      </w:r>
      <w:r>
        <w:t xml:space="preserve">Measured corneal curvature essential for detecting astigmatism and early signs of keratoconus.</w:t>
      </w:r>
    </w:p>
    <w:p>
      <w:pPr>
        <w:pStyle w:val="FirstParagraph"/>
      </w:pPr>
      <w:r>
        <w:t xml:space="preserve">The protocol followed the standard operating procedures (SOPs) mandated by the Berlin Chamber of Physicians. Each step was recorded digitally to ensure traceability and compliance with data protection laws (DSGVO/GDPR), which are particularly stringent in this region.</w:t>
      </w:r>
    </w:p>
    <w:bookmarkEnd w:id="21"/>
    <w:bookmarkStart w:id="23" w:name="results"/>
    <w:p>
      <w:pPr>
        <w:pStyle w:val="Heading2"/>
      </w:pPr>
      <w:r>
        <w:t xml:space="preserve">3. Clinical Findings and Laboratory Results</w:t>
      </w:r>
    </w:p>
    <w:p>
      <w:pPr>
        <w:pStyle w:val="FirstParagraph"/>
      </w:pPr>
      <w:r>
        <w:t xml:space="preserve">The</w:t>
      </w:r>
      <w:r>
        <w:t xml:space="preserve"> </w:t>
      </w:r>
      <w:r>
        <w:rPr>
          <w:bCs/>
          <w:b/>
        </w:rPr>
        <w:t xml:space="preserve">Optometrist</w:t>
      </w:r>
      <w:r>
        <w:t xml:space="preserve"> </w:t>
      </w:r>
      <w:r>
        <w:t xml:space="preserve">conducted a battery of tests to evaluate both refractive error and ocular health. The following subsections detail the quantitative findings derived from the laboratory analysis.</w:t>
      </w:r>
    </w:p>
    <w:bookmarkStart w:id="22" w:name="refractive-status-analysis"/>
    <w:p>
      <w:pPr>
        <w:pStyle w:val="Heading3"/>
      </w:pPr>
      <w:r>
        <w:t xml:space="preserve">3.1 Refractive Status Analysis</w:t>
      </w:r>
    </w:p>
    <w:p>
      <w:pPr>
        <w:pStyle w:val="FirstParagraph"/>
      </w:pPr>
      <w:r>
        <w:t xml:space="preserve">The primary objective was to determine the precise refractive error for each eye. The results are summarized in Table 1 below:</w:t>
      </w:r>
    </w:p>
    <w:p>
      <w:pPr>
        <w:pStyle w:val="BodyText"/>
      </w:pPr>
      <w:r>
        <w:t xml:space="preserve">Metric</w:t>
      </w:r>
    </w:p>
    <w:p>
      <w:pPr>
        <w:pStyle w:val="BodyText"/>
      </w:pPr>
      <w:r>
        <w:t xml:space="preserve">Right Eye (OD)</w:t>
      </w:r>
    </w:p>
    <w:p>
      <w:pPr>
        <w:pStyle w:val="BodyText"/>
      </w:pPr>
      <w:r>
        <w:t xml:space="preserve">Left Eye (OS)</w:t>
      </w:r>
    </w:p>
    <w:p>
      <w:pPr>
        <w:pStyle w:val="BodyText"/>
      </w:pPr>
      <w:r>
        <w:t xml:space="preserve">Spherical Power (SPH)</w:t>
      </w:r>
    </w:p>
    <w:p>
      <w:pPr>
        <w:pStyle w:val="BodyText"/>
      </w:pPr>
      <w:r>
        <w:t xml:space="preserve">-2.50 D</w:t>
      </w:r>
    </w:p>
    <w:p>
      <w:pPr>
        <w:pStyle w:val="BodyText"/>
      </w:pPr>
      <w:r>
        <w:t xml:space="preserve">"</w:t>
      </w:r>
    </w:p>
    <w:p>
      <w:pPr>
        <w:pStyle w:val="BodyText"/>
      </w:pPr>
      <w:r>
        <w:t xml:space="preserve">"</w:t>
      </w:r>
      <w:r>
        <w:br/>
      </w:r>
      <w:r>
        <w:t xml:space="preserve">"</w:t>
      </w:r>
    </w:p>
    <w:bookmarkEnd w:id="22"/>
    <w:bookmarkEnd w:id="23"/>
    <w:bookmarkStart w:id="24" w:name="discussion"/>
    <w:p>
      <w:pPr>
        <w:pStyle w:val="Heading2"/>
      </w:pPr>
      <w:r>
        <w:t xml:space="preserve">4. Discussion and Clinical Interpretation</w:t>
      </w:r>
    </w:p>
    <w:p>
      <w:pPr>
        <w:pStyle w:val="FirstParagraph"/>
      </w:pPr>
      <w:r>
        <w:t xml:space="preserve">The findings indicate a mild to moderate myopic astigmatism in both eyes, which is consistent with the demographic profile of young adults seeking vision correction in urban centers like</w:t>
      </w:r>
      <w:r>
        <w:t xml:space="preserve"> </w:t>
      </w:r>
      <w:r>
        <w:rPr>
          <w:bCs/>
          <w:b/>
        </w:rPr>
        <w:t xml:space="preserve">Germany Berlin</w:t>
      </w:r>
      <w:r>
        <w:t xml:space="preserve">. The axial length measurements suggest that the myopia is primarily refractive rather than pathological elongation at this stage.</w:t>
      </w:r>
    </w:p>
    <w:p>
      <w:pPr>
        <w:pStyle w:val="BodyText"/>
      </w:pPr>
      <w:r>
        <w:t xml:space="preserve">The health of the optic nerve head, as analyzed by OCT imaging, showed no signs of glaucomatous damage. Intraocular pressures remained within normal limits across all measurement points. However, a slight reduction in dry eye indices was noted compared to standard baselines for the region's winter climate conditions. This is a common finding among residents of</w:t>
      </w:r>
      <w:r>
        <w:t xml:space="preserve"> </w:t>
      </w:r>
      <w:r>
        <w:rPr>
          <w:bCs/>
          <w:b/>
        </w:rPr>
        <w:t xml:space="preserve">Germany Berlin</w:t>
      </w:r>
      <w:r>
        <w:t xml:space="preserve">, where indoor heating systems during winter months significantly lower ambient humidity, impacting tear film stability.</w:t>
      </w:r>
    </w:p>
    <w:p>
      <w:pPr>
        <w:pStyle w:val="BodyText"/>
      </w:pPr>
      <w:r>
        <w:t xml:space="preserve">The role of the</w:t>
      </w:r>
      <w:r>
        <w:t xml:space="preserve"> </w:t>
      </w:r>
      <w:r>
        <w:rPr>
          <w:bCs/>
          <w:b/>
        </w:rPr>
        <w:t xml:space="preserve">Optometrist</w:t>
      </w:r>
      <w:r>
        <w:t xml:space="preserve"> </w:t>
      </w:r>
      <w:r>
        <w:t xml:space="preserve">in this analysis was not limited to data collection but extended to risk assessment. The slight astigmatic shift detected in the left eye warrants monitoring over a six-month period to determine if it is stable or progressing. This proactive approach aligns with preventive care strategies emphasized by health organizations in Germany.</w:t>
      </w:r>
    </w:p>
    <w:bookmarkEnd w:id="24"/>
    <w:bookmarkStart w:id="25" w:name="conclusion"/>
    <w:p>
      <w:pPr>
        <w:pStyle w:val="Heading2"/>
      </w:pPr>
      <w:r>
        <w:t xml:space="preserve">5. Conclusion</w:t>
      </w:r>
    </w:p>
    <w:p>
      <w:pPr>
        <w:pStyle w:val="FirstParagraph"/>
      </w:pPr>
      <w:r>
        <w:t xml:space="preserve">This laboratory report confirms that the patient presents with manageable refractive errors and generally healthy ocular structures, within the standards expected of routine examinations in</w:t>
      </w:r>
      <w:r>
        <w:t xml:space="preserve"> </w:t>
      </w:r>
      <w:r>
        <w:rPr>
          <w:bCs/>
          <w:b/>
        </w:rPr>
        <w:t xml:space="preserve">Germany Berlin</w:t>
      </w:r>
      <w:r>
        <w:t xml:space="preserve">. The integration of precise optical instrumentation with rigorous clinical protocols ensures accurate diagnosis and treatment planning. It is recommended that corrective lenses be prescribed as detailed above to maximize visual acuity and comfort.</w:t>
      </w:r>
    </w:p>
    <w:p>
      <w:pPr>
        <w:pStyle w:val="BodyText"/>
      </w:pPr>
      <w:r>
        <w:t xml:space="preserve">The significance of this document lies not only in its diagnostic utility but also in its adherence to the high regulatory standards of the German healthcare system. The</w:t>
      </w:r>
      <w:r>
        <w:t xml:space="preserve"> </w:t>
      </w:r>
      <w:r>
        <w:rPr>
          <w:bCs/>
          <w:b/>
        </w:rPr>
        <w:t xml:space="preserve">Optometrist</w:t>
      </w:r>
      <w:r>
        <w:t xml:space="preserve">, acting within this framework, plays a crucial role in early detection of ocular pathology and ensuring that visual health is maintained with professional precision.</w:t>
      </w:r>
    </w:p>
    <w:p>
      <w:r>
        <w:pict>
          <v:rect style="width:0;height:1.5pt" o:hralign="center" o:hrstd="t" o:hr="t"/>
        </w:pict>
      </w:r>
    </w:p>
    <w:p>
      <w:pPr>
        <w:pStyle w:val="FirstParagraph"/>
      </w:pPr>
      <w:r>
        <w:rPr>
          <w:iCs/>
          <w:i/>
        </w:rPr>
        <w:t xml:space="preserve">This report was generated by a qualified Optometrist authorized to practice in Germany Berlin. All data is confidential and protected under applicable privacy laws.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2026-07-29T09:47:04Z</dcterms:created>
  <dcterms:modified xsi:type="dcterms:W3CDTF">2026-07-29T09:47:04Z</dcterms:modified>
</cp:coreProperties>
</file>

<file path=docProps/custom.xml><?xml version="1.0" encoding="utf-8"?>
<Properties xmlns="http://schemas.openxmlformats.org/officeDocument/2006/custom-properties" xmlns:vt="http://schemas.openxmlformats.org/officeDocument/2006/docPropsVTypes"/>
</file>