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Optometric</w:t>
      </w:r>
      <w:r>
        <w:t xml:space="preserve"> </w:t>
      </w:r>
      <w:r>
        <w:t xml:space="preserve">Analysis</w:t>
      </w:r>
      <w:r>
        <w:t xml:space="preserve"> </w:t>
      </w:r>
      <w:r>
        <w:t xml:space="preserve">and</w:t>
      </w:r>
      <w:r>
        <w:t xml:space="preserve"> </w:t>
      </w:r>
      <w:r>
        <w:t xml:space="preserve">Clinical</w:t>
      </w:r>
      <w:r>
        <w:t xml:space="preserve"> </w:t>
      </w:r>
      <w:r>
        <w:t xml:space="preserve">Standards</w:t>
      </w:r>
      <w:r>
        <w:t xml:space="preserve"> </w:t>
      </w:r>
      <w:r>
        <w:t xml:space="preserve">in</w:t>
      </w:r>
      <w:r>
        <w:t xml:space="preserve"> </w:t>
      </w:r>
      <w:r>
        <w:t xml:space="preserve">Germany</w:t>
      </w:r>
      <w:r>
        <w:t xml:space="preserve"> </w:t>
      </w:r>
      <w:r>
        <w:t xml:space="preserve">Munich</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ID:</w:t>
      </w:r>
      <w:r>
        <w:t xml:space="preserve">MU-OPHT-2023-X99</w:t>
      </w:r>
    </w:p>
    <w:p>
      <w:pPr>
        <w:pStyle w:val="BodyText"/>
      </w:pPr>
      <w:r>
        <w:rPr>
          <w:bCs/>
          <w:b/>
        </w:rPr>
        <w:t xml:space="preserve">Institution:</w:t>
      </w:r>
      <w:r>
        <w:t xml:space="preserve">Bavarian Institute for Advanced Ophthalmic Research and Clinical Standards</w:t>
      </w:r>
    </w:p>
    <w:p>
      <w:r>
        <w:pict>
          <v:rect style="width:0;height:1.5pt" o:hralign="center" o:hrstd="t" o:hr="t"/>
        </w:pict>
      </w:r>
    </w:p>
    <w:bookmarkEnd w:id="20"/>
    <w:bookmarkStart w:id="27" w:name="X772a335d0448ebf05a700cd974b8c9bf5fe4a05"/>
    <w:p>
      <w:pPr>
        <w:pStyle w:val="Heading1"/>
      </w:pPr>
      <w:r>
        <w:t xml:space="preserve">Laboratory Report: Comprehensive Optometric Evaluation and Clinical Protocol Analysis in the Region of Germany Munich</w:t>
      </w:r>
    </w:p>
    <w:bookmarkStart w:id="21" w:name="abstract"/>
    <w:p>
      <w:pPr>
        <w:pStyle w:val="Heading2"/>
      </w:pPr>
      <w:r>
        <w:t xml:space="preserve">Abstract</w:t>
      </w:r>
    </w:p>
    <w:p>
      <w:pPr>
        <w:pStyle w:val="FirstParagraph"/>
      </w:pPr>
      <w:r>
        <w:br/>
      </w:r>
      <w:r>
        <w:t xml:space="preserve">This laboratory report details the findings, methodologies, and clinical observations derived from a series of comprehensive optometric examinations conducted within the jurisdiction of</w:t>
      </w:r>
      <w:r>
        <w:t xml:space="preserve"> </w:t>
      </w:r>
      <w:r>
        <w:rPr>
          <w:bCs/>
          <w:b/>
        </w:rPr>
        <w:t xml:space="preserve">Germany Munich</w:t>
      </w:r>
      <w:r>
        <w:t xml:space="preserve">. The primary objective was to assess the efficacy of current non-invasive diagnostic protocols in detecting early-onset refractive errors and ocular surface diseases among diverse demographic groups. As a major hub for medical innovation and healthcare excellence,</w:t>
      </w:r>
      <w:r>
        <w:t xml:space="preserve"> </w:t>
      </w:r>
      <w:r>
        <w:rPr>
          <w:bCs/>
          <w:b/>
        </w:rPr>
        <w:t xml:space="preserve">Germany Munich</w:t>
      </w:r>
      <w:r>
        <w:t xml:space="preserve"> </w:t>
      </w:r>
      <w:r>
        <w:t xml:space="preserve">serves as an ideal locus for this study due to its rigorous adherence to European Union safety standards and high patient compliance rates. The data presented herein underscores the critical role of the</w:t>
      </w:r>
      <w:r>
        <w:t xml:space="preserve"> </w:t>
      </w:r>
      <w:r>
        <w:rPr>
          <w:bCs/>
          <w:b/>
        </w:rPr>
        <w:t xml:space="preserve">Optometrist</w:t>
      </w:r>
      <w:r>
        <w:t xml:space="preserve"> </w:t>
      </w:r>
      <w:r>
        <w:t xml:space="preserve">in maintaining public ocular health, highlighting specific trends observed in urban populations. This document serves as a formal record of clinical performance and diagnostic accuracy within this specific geographic and regulatory context.</w:t>
      </w:r>
    </w:p>
    <w:bookmarkEnd w:id="21"/>
    <w:bookmarkStart w:id="22" w:name="introduction"/>
    <w:p>
      <w:pPr>
        <w:pStyle w:val="Heading2"/>
      </w:pPr>
      <w:r>
        <w:t xml:space="preserve">1. Introduction</w:t>
      </w:r>
    </w:p>
    <w:p>
      <w:pPr>
        <w:pStyle w:val="FirstParagraph"/>
      </w:pPr>
      <w:r>
        <w:br/>
      </w:r>
      <w:r>
        <w:t xml:space="preserve">The field of optometry has evolved significantly from simple vision correction to a comprehensive health discipline involving the diagnosis and management of ocular conditions. In the bustling metropolitan area of</w:t>
      </w:r>
      <w:r>
        <w:t xml:space="preserve"> </w:t>
      </w:r>
      <w:r>
        <w:rPr>
          <w:bCs/>
          <w:b/>
        </w:rPr>
        <w:t xml:space="preserve">Germany Munich</w:t>
      </w:r>
      <w:r>
        <w:t xml:space="preserve">, where digital screen usage is exceptionally high due to a strong tech industry presence, the demand for precise optometric care is at an all-time high. This</w:t>
      </w:r>
      <w:r>
        <w:t xml:space="preserve"> </w:t>
      </w:r>
      <w:r>
        <w:rPr>
          <w:bCs/>
          <w:b/>
        </w:rPr>
        <w:t xml:space="preserve">Lab Report</w:t>
      </w:r>
      <w:r>
        <w:t xml:space="preserve"> </w:t>
      </w:r>
      <w:r>
        <w:t xml:space="preserve">aims to document the outcomes of standardized eye examinations performed over a six-month period. The study focuses on three core pillars: refractive stability, intraocular pressure (IOP) monitoring, and dry eye syndrome prevalence.</w:t>
      </w:r>
    </w:p>
    <w:p>
      <w:pPr>
        <w:pStyle w:val="BodyText"/>
      </w:pPr>
      <w:r>
        <w:br/>
      </w:r>
      <w:r>
        <w:t xml:space="preserve">It is imperative to note that the standards applied in this report align strictly with German medical regulations and European directives. The role of the</w:t>
      </w:r>
      <w:r>
        <w:t xml:space="preserve"> </w:t>
      </w:r>
      <w:r>
        <w:rPr>
          <w:bCs/>
          <w:b/>
        </w:rPr>
        <w:t xml:space="preserve">Optometrist</w:t>
      </w:r>
      <w:r>
        <w:t xml:space="preserve"> </w:t>
      </w:r>
      <w:r>
        <w:t xml:space="preserve">in this setting is not merely corrective but preventive, requiring a deep understanding of both optical physics and human physiology. By analyzing data from</w:t>
      </w:r>
      <w:r>
        <w:t xml:space="preserve"> </w:t>
      </w:r>
      <w:r>
        <w:rPr>
          <w:bCs/>
          <w:b/>
        </w:rPr>
        <w:t xml:space="preserve">Germany Munich</w:t>
      </w:r>
      <w:r>
        <w:t xml:space="preserve">, we can draw broader conclusions about urban ocular health challenges.</w:t>
      </w:r>
    </w:p>
    <w:p>
      <w:pPr>
        <w:pStyle w:val="BodyText"/>
      </w:pPr>
      <w:r>
        <w:br/>
      </w:r>
    </w:p>
    <w:bookmarkEnd w:id="22"/>
    <w:bookmarkStart w:id="23" w:name="methodology"/>
    <w:p>
      <w:pPr>
        <w:pStyle w:val="Heading2"/>
      </w:pPr>
      <w:r>
        <w:t xml:space="preserve">2. Methodology</w:t>
      </w:r>
    </w:p>
    <w:p>
      <w:pPr>
        <w:pStyle w:val="FirstParagraph"/>
      </w:pPr>
      <w:r>
        <w:br/>
      </w:r>
      <w:r>
        <w:t xml:space="preserve">The study involved 500 participants aged between 18 and 65, recruited from various districts within</w:t>
      </w:r>
      <w:r>
        <w:t xml:space="preserve"> </w:t>
      </w:r>
      <w:r>
        <w:rPr>
          <w:bCs/>
          <w:b/>
        </w:rPr>
        <w:t xml:space="preserve">Germany Munich</w:t>
      </w:r>
      <w:r>
        <w:t xml:space="preserve">. Each participant underwent a battery of tests administered by licensed</w:t>
      </w:r>
      <w:r>
        <w:t xml:space="preserve"> </w:t>
      </w:r>
      <w:r>
        <w:rPr>
          <w:bCs/>
          <w:b/>
        </w:rPr>
        <w:t xml:space="preserve">Optometrist</w:t>
      </w:r>
      <w:r>
        <w:t xml:space="preserve">s certified under local health authority guidelines. The protocol included:</w:t>
      </w:r>
    </w:p>
    <w:p>
      <w:pPr>
        <w:pStyle w:val="BodyText"/>
      </w:pPr>
      <w:r>
        <w:br/>
      </w:r>
    </w:p>
    <w:p>
      <w:pPr>
        <w:numPr>
          <w:ilvl w:val="0"/>
          <w:numId w:val="1001"/>
        </w:numPr>
        <w:pStyle w:val="Compact"/>
      </w:pPr>
      <w:r>
        <w:t xml:space="preserve">Subjective Refraction:</w:t>
      </w:r>
    </w:p>
    <w:p>
      <w:pPr>
        <w:numPr>
          <w:ilvl w:val="0"/>
          <w:numId w:val="1002"/>
        </w:numPr>
        <w:pStyle w:val="Compact"/>
      </w:pPr>
      <w:r>
        <w:rPr>
          <w:bCs/>
          <w:b/>
        </w:rPr>
        <w:t xml:space="preserve">Slit-Lamp Biomicroscopy: Detailed examination of anterior segment structures for signs of infection or degeneration.</w:t>
      </w:r>
    </w:p>
    <w:p>
      <w:pPr>
        <w:numPr>
          <w:ilvl w:val="0"/>
          <w:numId w:val="1003"/>
        </w:numPr>
        <w:pStyle w:val="Compact"/>
      </w:pPr>
      <w:r>
        <w:t xml:space="preserve">OCT (Optical Coherence Tomography): Imaging of the retinal nerve fiber layer to detect glaucomatous changes early.</w:t>
      </w:r>
    </w:p>
    <w:p>
      <w:pPr>
        <w:pStyle w:val="FirstParagraph"/>
      </w:pPr>
      <w:r>
        <w:rPr>
          <w:bCs/>
          <w:b/>
        </w:rPr>
        <w:t xml:space="preserve">Tear Film Analysis: Utilizing non-invasive tear breakup time (NIBUT) tests to quantify dry eye severity.</w:t>
      </w:r>
    </w:p>
    <w:p>
      <w:pPr>
        <w:pStyle w:val="BodyText"/>
      </w:pPr>
      <w:r>
        <w:t xml:space="preserve">All equipment was calibrated daily according to manufacturer specifications and EU medical device regulations. The environment of the clinic in</w:t>
      </w:r>
      <w:r>
        <w:t xml:space="preserve"> </w:t>
      </w:r>
      <w:r>
        <w:rPr>
          <w:bCs/>
          <w:b/>
        </w:rPr>
        <w:t xml:space="preserve">Germany Munich</w:t>
      </w:r>
      <w:r>
        <w:t xml:space="preserve"> </w:t>
      </w:r>
      <w:r>
        <w:t xml:space="preserve">was controlled for temperature and humidity to ensure consistent results, reflecting the high standards expected in this region.</w:t>
      </w:r>
    </w:p>
    <w:p>
      <w:pPr>
        <w:pStyle w:val="BodyText"/>
      </w:pPr>
      <w:r>
        <w:br/>
      </w:r>
    </w:p>
    <w:bookmarkEnd w:id="23"/>
    <w:bookmarkStart w:id="24" w:name="results"/>
    <w:p>
      <w:pPr>
        <w:pStyle w:val="Heading2"/>
      </w:pPr>
      <w:r>
        <w:t xml:space="preserve">3. Results</w:t>
      </w:r>
    </w:p>
    <w:p>
      <w:pPr>
        <w:pStyle w:val="FirstParagraph"/>
      </w:pPr>
      <w:r>
        <w:br/>
      </w:r>
      <w:r>
        <w:t xml:space="preserve">Analysis of the collected data revealed several significant trends relevant to the</w:t>
      </w:r>
      <w:r>
        <w:t xml:space="preserve"> </w:t>
      </w:r>
      <w:r>
        <w:rPr>
          <w:bCs/>
          <w:b/>
        </w:rPr>
        <w:t xml:space="preserve">Optometrist</w:t>
      </w:r>
      <w:r>
        <w:t xml:space="preserve"> </w:t>
      </w:r>
      <w:r>
        <w:t xml:space="preserve">practicing in</w:t>
      </w:r>
      <w:r>
        <w:t xml:space="preserve"> </w:t>
      </w:r>
      <w:r>
        <w:rPr>
          <w:bCs/>
          <w:b/>
        </w:rPr>
        <w:t xml:space="preserve">Germany Munich</w:t>
      </w:r>
      <w:r>
        <w:t xml:space="preserve">:</w:t>
      </w:r>
    </w:p>
    <w:p>
      <w:pPr>
        <w:pStyle w:val="BodyText"/>
      </w:pPr>
      <w:r>
        <w:br/>
      </w:r>
    </w:p>
    <w:p>
      <w:pPr>
        <w:pStyle w:val="FirstParagraph"/>
      </w:pPr>
      <w:r>
        <w:t xml:space="preserve">1.</w:t>
      </w:r>
      <w:r>
        <w:rPr>
          <w:bCs/>
          <w:b/>
        </w:rPr>
        <w:t xml:space="preserve">Refractive Error Prevalence:</w:t>
      </w:r>
      <w:r>
        <w:t xml:space="preserve">A total of 68% of participants exhibited myopia (nearsightedness), with a slight upward trend compared to previous years. This correlates with increased screen time in the urban environment of</w:t>
      </w:r>
      <w:r>
        <w:t xml:space="preserve"> </w:t>
      </w:r>
      <w:r>
        <w:rPr>
          <w:bCs/>
          <w:b/>
        </w:rPr>
        <w:t xml:space="preserve">Germany Munich</w:t>
      </w:r>
      <w:r>
        <w:t xml:space="preserve">. The average spherical equivalent was -1.75 D, indicating a moderate level of refractive correction required by the majority.</w:t>
      </w:r>
    </w:p>
    <w:p>
      <w:pPr>
        <w:pStyle w:val="BodyText"/>
      </w:pPr>
      <w:r>
        <w:t xml:space="preserve">2.</w:t>
      </w:r>
      <w:r>
        <w:rPr>
          <w:bCs/>
          <w:b/>
        </w:rPr>
        <w:t xml:space="preserve">Intraocular Pressure (IOP):</w:t>
      </w:r>
      <w:r>
        <w:t xml:space="preserve">The mean IOP across all participants was 15.4 mmHg. However, 5% of patients presented with ocular hypertension (IOP &gt;21 mmHg), necessitating further monitoring by an</w:t>
      </w:r>
      <w:r>
        <w:t xml:space="preserve"> </w:t>
      </w:r>
      <w:r>
        <w:rPr>
          <w:bCs/>
          <w:b/>
        </w:rPr>
        <w:t xml:space="preserve">Optometrist</w:t>
      </w:r>
      <w:r>
        <w:t xml:space="preserve"> </w:t>
      </w:r>
      <w:r>
        <w:t xml:space="preserve">or ophthalmologist. This highlights the importance of regular IOP checks in preventing glaucoma.</w:t>
      </w:r>
    </w:p>
    <w:p>
      <w:pPr>
        <w:pStyle w:val="BodyText"/>
      </w:pPr>
      <w:r>
        <w:t xml:space="preserve">3.</w:t>
      </w:r>
      <w:r>
        <w:rPr>
          <w:bCs/>
          <w:b/>
        </w:rPr>
        <w:t xml:space="preserve">Dry Eye Syndrome:</w:t>
      </w:r>
      <w:r>
        <w:t xml:space="preserve">A staggering 42% of participants showed signs of dry eye syndrome, defined by a NIBUT value of less than 10 seconds. This is particularly relevant in</w:t>
      </w:r>
      <w:r>
        <w:t xml:space="preserve"> </w:t>
      </w:r>
      <w:r>
        <w:rPr>
          <w:bCs/>
          <w:b/>
        </w:rPr>
        <w:t xml:space="preserve">Germany Munich</w:t>
      </w:r>
      <w:r>
        <w:t xml:space="preserve">, where indoor heating systems during winter months can significantly reduce ambient humidity, exacerbating ocular surface instability.</w:t>
      </w:r>
    </w:p>
    <w:p>
      <w:pPr>
        <w:pStyle w:val="BodyText"/>
      </w:pPr>
      <w:r>
        <w:t xml:space="preserve">The data collected in this</w:t>
      </w:r>
      <w:r>
        <w:t xml:space="preserve"> </w:t>
      </w:r>
      <w:r>
        <w:rPr>
          <w:bCs/>
          <w:b/>
        </w:rPr>
        <w:t xml:space="preserve">Lab Report</w:t>
      </w:r>
      <w:r>
        <w:t xml:space="preserve"> </w:t>
      </w:r>
      <w:r>
        <w:t xml:space="preserve">confirms that while visual acuity is largely maintainable, the quality of vision and ocular comfort are increasingly challenged by lifestyle factors prevalent in modern urban life.</w:t>
      </w:r>
    </w:p>
    <w:p>
      <w:pPr>
        <w:pStyle w:val="BodyText"/>
      </w:pPr>
      <w:r>
        <w:br/>
      </w:r>
    </w:p>
    <w:bookmarkEnd w:id="24"/>
    <w:bookmarkStart w:id="25" w:name="discussion"/>
    <w:p>
      <w:pPr>
        <w:pStyle w:val="Heading2"/>
      </w:pPr>
      <w:r>
        <w:t xml:space="preserve">4. Discussion</w:t>
      </w:r>
    </w:p>
    <w:p>
      <w:pPr>
        <w:pStyle w:val="FirstParagraph"/>
      </w:pPr>
      <w:r>
        <w:br/>
      </w:r>
      <w:r>
        <w:t xml:space="preserve">The results obtained from this study in</w:t>
      </w:r>
      <w:r>
        <w:t xml:space="preserve"> </w:t>
      </w:r>
      <w:r>
        <w:rPr>
          <w:bCs/>
          <w:b/>
        </w:rPr>
        <w:t xml:space="preserve">Germany Munich</w:t>
      </w:r>
      <w:r>
        <w:t xml:space="preserve"> </w:t>
      </w:r>
      <w:r>
        <w:t xml:space="preserve">illustrate the complex interplay between environmental factors and ocular health. For the practicing</w:t>
      </w:r>
      <w:r>
        <w:t xml:space="preserve"> </w:t>
      </w:r>
      <w:r>
        <w:rPr>
          <w:bCs/>
          <w:b/>
        </w:rPr>
        <w:t xml:space="preserve">Optometrist</w:t>
      </w:r>
      <w:r>
        <w:t xml:space="preserve">, these findings suggest a need for more frequent follow-ups, particularly for patients exhibiting early signs of dry eye or refractive shifts.</w:t>
      </w:r>
    </w:p>
    <w:p>
      <w:pPr>
        <w:pStyle w:val="BodyText"/>
      </w:pPr>
      <w:r>
        <w:br/>
      </w:r>
      <w:r>
        <w:t xml:space="preserve">The high prevalence of myopia in</w:t>
      </w:r>
      <w:r>
        <w:t xml:space="preserve"> </w:t>
      </w:r>
      <w:r>
        <w:rPr>
          <w:bCs/>
          <w:b/>
        </w:rPr>
        <w:t xml:space="preserve">Germany Munich</w:t>
      </w:r>
      <w:r>
        <w:t xml:space="preserve"> </w:t>
      </w:r>
      <w:r>
        <w:t xml:space="preserve">mirrors trends seen in other major European cities. However, the specific cultural emphasis on outdoor activity among younger demographics in this region may offer some protective benefits that are not yet fully quantified. Conversely, the aging population in</w:t>
      </w:r>
      <w:r>
        <w:t xml:space="preserve"> </w:t>
      </w:r>
      <w:r>
        <w:rPr>
          <w:bCs/>
          <w:b/>
        </w:rPr>
        <w:t xml:space="preserve">Germany Munich</w:t>
      </w:r>
      <w:r>
        <w:t xml:space="preserve"> </w:t>
      </w:r>
      <w:r>
        <w:t xml:space="preserve">presents unique challenges regarding age-related macular degeneration (AMD) and cataracts, requiring</w:t>
      </w:r>
      <w:r>
        <w:t xml:space="preserve"> </w:t>
      </w:r>
      <w:r>
        <w:rPr>
          <w:bCs/>
          <w:b/>
        </w:rPr>
        <w:t xml:space="preserve">Optometrist</w:t>
      </w:r>
      <w:r>
        <w:t xml:space="preserve">s to be proficient in advanced imaging technologies.</w:t>
      </w:r>
    </w:p>
    <w:p>
      <w:pPr>
        <w:pStyle w:val="BodyText"/>
      </w:pPr>
      <w:r>
        <w:br/>
      </w:r>
      <w:r>
        <w:t xml:space="preserve">Furthermore, the regulatory environment in</w:t>
      </w:r>
      <w:r>
        <w:t xml:space="preserve"> </w:t>
      </w:r>
      <w:r>
        <w:rPr>
          <w:bCs/>
          <w:b/>
        </w:rPr>
        <w:t xml:space="preserve">Germany Munich</w:t>
      </w:r>
      <w:r>
        <w:t xml:space="preserve">, which is part of the broader German healthcare system, imposes strict documentation requirements. This</w:t>
      </w:r>
      <w:r>
        <w:t xml:space="preserve"> </w:t>
      </w:r>
      <w:r>
        <w:rPr>
          <w:bCs/>
          <w:b/>
        </w:rPr>
        <w:t xml:space="preserve">Lab Report</w:t>
      </w:r>
      <w:r>
        <w:t xml:space="preserve"> </w:t>
      </w:r>
      <w:r>
        <w:t xml:space="preserve">serves not only as a scientific document but also as a compliance tool, ensuring that all clinical decisions are backed by empirical evidence and adhere to legal standards.</w:t>
      </w:r>
    </w:p>
    <w:p>
      <w:pPr>
        <w:pStyle w:val="BodyText"/>
      </w:pPr>
      <w:r>
        <w:br/>
      </w:r>
    </w:p>
    <w:bookmarkEnd w:id="25"/>
    <w:bookmarkStart w:id="26" w:name="conclusion"/>
    <w:p>
      <w:pPr>
        <w:pStyle w:val="Heading2"/>
      </w:pPr>
      <w:r>
        <w:t xml:space="preserve">5. Conclusion</w:t>
      </w:r>
    </w:p>
    <w:p>
      <w:pPr>
        <w:pStyle w:val="FirstParagraph"/>
      </w:pPr>
      <w:r>
        <w:br/>
      </w:r>
      <w:r>
        <w:t xml:space="preserve">In conclusion, this laboratory report provides a comprehensive overview of the current state of ocular health among residents of</w:t>
      </w:r>
      <w:r>
        <w:t xml:space="preserve"> </w:t>
      </w:r>
      <w:r>
        <w:rPr>
          <w:bCs/>
          <w:b/>
        </w:rPr>
        <w:t xml:space="preserve">Germany Munich</w:t>
      </w:r>
      <w:r>
        <w:t xml:space="preserve">. The data underscores the vital role of the</w:t>
      </w:r>
      <w:r>
        <w:t xml:space="preserve"> </w:t>
      </w:r>
      <w:r>
        <w:rPr>
          <w:bCs/>
          <w:b/>
        </w:rPr>
        <w:t xml:space="preserve">Optometrist</w:t>
      </w:r>
      <w:r>
        <w:t xml:space="preserve"> </w:t>
      </w:r>
      <w:r>
        <w:t xml:space="preserve">in diagnosing and managing conditions that affect millions. As urbanization continues to impact lifestyle habits, the demand for precise, evidence-based optometric care will only grow.</w:t>
      </w:r>
    </w:p>
    <w:p>
      <w:pPr>
        <w:pStyle w:val="BodyText"/>
      </w:pPr>
      <w:r>
        <w:br/>
      </w:r>
      <w:r>
        <w:t xml:space="preserve">It is recommended that future studies expand upon these findings by incorporating longitudinal data to track changes over time. Additionally, collaboration between</w:t>
      </w:r>
      <w:r>
        <w:t xml:space="preserve"> </w:t>
      </w:r>
      <w:r>
        <w:rPr>
          <w:bCs/>
          <w:b/>
        </w:rPr>
        <w:t xml:space="preserve">Optometrist</w:t>
      </w:r>
      <w:r>
        <w:t xml:space="preserve">s in</w:t>
      </w:r>
      <w:r>
        <w:t xml:space="preserve"> </w:t>
      </w:r>
      <w:r>
        <w:rPr>
          <w:bCs/>
          <w:b/>
        </w:rPr>
        <w:t xml:space="preserve">Germany Munich</w:t>
      </w:r>
      <w:r>
        <w:t xml:space="preserve"> </w:t>
      </w:r>
      <w:r>
        <w:t xml:space="preserve">and international bodies could further refine diagnostic protocols. This document stands as a testament to the rigorous standards of care and scientific inquiry that define optometric practice in this distinguished region.</w:t>
      </w:r>
    </w:p>
    <w:p>
      <w:pPr>
        <w:pStyle w:val="BodyText"/>
      </w:pPr>
      <w:r>
        <w:br/>
      </w:r>
    </w:p>
    <w:p>
      <w:pPr>
        <w:pStyle w:val="BodyText"/>
      </w:pPr>
      <w:r>
        <w:rPr>
          <w:bCs/>
          <w:b/>
        </w:rPr>
        <w:t xml:space="preserve">Prepared By:</w:t>
      </w:r>
    </w:p>
    <w:p>
      <w:pPr>
        <w:pStyle w:val="BodyText"/>
      </w:pPr>
      <w:r>
        <w:t xml:space="preserve">Sarah Weber, Lead Clinical Optometrist</w:t>
      </w:r>
    </w:p>
    <w:p>
      <w:pPr>
        <w:pStyle w:val="BodyText"/>
      </w:pPr>
      <w:r>
        <w:t xml:space="preserve">Clinical Research Division</w:t>
      </w:r>
    </w:p>
    <w:p>
      <w:pPr>
        <w:pStyle w:val="BodyText"/>
      </w:pPr>
      <w:r>
        <w:t xml:space="preserve">Munich, Germany Munich.</w:t>
      </w:r>
    </w:p>
    <w:p>
      <w:pPr>
        <w:pStyle w:val="BodyText"/>
      </w:pPr>
      <w:r>
        <w:t xml:space="preserve">..The findings herein are confidential and intended solely for professional review.</w:t>
      </w:r>
    </w:p>
    <w:p>
      <w:pPr>
        <w:pStyle w:val="BodyText"/>
      </w:pPr>
      <w:r>
        <w:t xml:space="preserve">.All data has been anonymized in compliance with GDPR regulations applicable in</w:t>
      </w:r>
      <w:r>
        <w:t xml:space="preserve"> </w:t>
      </w:r>
      <w:r>
        <w:rPr>
          <w:bCs/>
          <w:b/>
        </w:rPr>
        <w:t xml:space="preserve">Germany Munich</w:t>
      </w:r>
      <w:r>
        <w:t xml:space="preserve">.</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Optometric Analysis and Clinical Standards in Germany Munich</dc:title>
  <dc:creator/>
  <dc:language>en</dc:language>
  <cp:keywords/>
  <dcterms:created xsi:type="dcterms:W3CDTF">2026-07-29T15:44:10Z</dcterms:created>
  <dcterms:modified xsi:type="dcterms:W3CDTF">2026-07-29T15:44:10Z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