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Comprehensive</w:t>
      </w:r>
      <w:r>
        <w:t xml:space="preserve"> </w:t>
      </w:r>
      <w:r>
        <w:t xml:space="preserve">Optometric</w:t>
      </w:r>
      <w:r>
        <w:t xml:space="preserve"> </w:t>
      </w:r>
      <w:r>
        <w:t xml:space="preserve">Evaluation</w:t>
      </w:r>
      <w:r>
        <w:t xml:space="preserve"> </w:t>
      </w:r>
      <w:r>
        <w:t xml:space="preserve">in</w:t>
      </w:r>
      <w:r>
        <w:t xml:space="preserve"> </w:t>
      </w:r>
      <w:r>
        <w:t xml:space="preserve">India,</w:t>
      </w:r>
      <w:r>
        <w:t xml:space="preserve"> </w:t>
      </w:r>
      <w:r>
        <w:t xml:space="preserve">Bangalore</w:t>
      </w:r>
    </w:p>
    <w:bookmarkStart w:id="33" w:name="Xfb22e186fada12ee88eab9c9c2186d7be943d04"/>
    <w:p>
      <w:pPr>
        <w:pStyle w:val="Heading1"/>
      </w:pPr>
      <w:r>
        <w:t xml:space="preserve">Clinical Lab Report: Comprehensive Optometric Evaluation in India, Bangalore</w:t>
      </w:r>
    </w:p>
    <w:bookmarkStart w:id="20" w:name="Xec5a2a64cc6ab3caaf901c7c3fb0e9f6b1c60d7"/>
    <w:p>
      <w:pPr>
        <w:pStyle w:val="Heading3"/>
      </w:pPr>
      <w:r>
        <w:t xml:space="preserve">Patient Information and Administrative Details</w:t>
      </w:r>
    </w:p>
    <w:p>
      <w:pPr>
        <w:pStyle w:val="FirstParagraph"/>
      </w:pPr>
      <w:r>
        <w:rPr>
          <w:bCs/>
          <w:b/>
        </w:rPr>
        <w:t xml:space="preserve">Date of Examination:</w:t>
      </w:r>
    </w:p>
    <w:p>
      <w:pPr>
        <w:pStyle w:val="BodyText"/>
      </w:pPr>
      <w:r>
        <w:rPr>
          <w:iCs/>
          <w:i/>
        </w:rPr>
        <w:t xml:space="preserve">[Insert Date]</w:t>
      </w:r>
      <w:r>
        <w:br/>
      </w:r>
      <w:r>
        <w:rPr>
          <w:bCs/>
          <w:b/>
        </w:rPr>
        <w:t xml:space="preserve">Report ID:</w:t>
      </w:r>
      <w:r>
        <w:t xml:space="preserve"> </w:t>
      </w:r>
      <w:r>
        <w:t xml:space="preserve">[Insert ID Number]</w:t>
      </w:r>
      <w:r>
        <w:br/>
      </w:r>
      <w:r>
        <w:rPr>
          <w:bCs/>
          <w:b/>
        </w:rPr>
        <w:t xml:space="preserve">Clinical Site:</w:t>
      </w:r>
      <w:r>
        <w:t xml:space="preserve"> </w:t>
      </w:r>
      <w:r>
        <w:t xml:space="preserve">Advanced Ocular Diagnostics Center, Indiranagar, Bangalore, India</w:t>
      </w:r>
      <w:r>
        <w:br/>
      </w:r>
      <w:r>
        <w:rPr>
          <w:bCs/>
          <w:b/>
        </w:rPr>
        <w:t xml:space="preserve">Patient Name:</w:t>
      </w:r>
      <w:r>
        <w:t xml:space="preserve"> </w:t>
      </w:r>
      <w:r>
        <w:t xml:space="preserve">[Patient Name]</w:t>
      </w:r>
      <w:r>
        <w:br/>
      </w:r>
      <w:r>
        <w:rPr>
          <w:bCs/>
          <w:b/>
        </w:rPr>
        <w:t xml:space="preserve">ID No.</w:t>
      </w:r>
      <w:r>
        <w:t xml:space="preserve"> </w:t>
      </w:r>
      <w:r>
        <w:t xml:space="preserve">[ID Number]</w:t>
      </w:r>
      <w:r>
        <w:br/>
      </w:r>
      <w:r>
        <w:rPr>
          <w:iCs/>
          <w:i/>
        </w:rPr>
        <w:t xml:space="preserve">Gender:</w:t>
      </w:r>
      <w:r>
        <w:t xml:space="preserve"> </w:t>
      </w:r>
      <w:r>
        <w:t xml:space="preserve">[Gender]</w:t>
      </w:r>
      <w:r>
        <w:t xml:space="preserve"> </w:t>
      </w:r>
      <w:r>
        <w:rPr>
          <w:bCs/>
          <w:b/>
        </w:rPr>
        <w:t xml:space="preserve">Age:</w:t>
      </w:r>
      <w:r>
        <w:t xml:space="preserve"> </w:t>
      </w:r>
      <w:r>
        <w:t xml:space="preserve">[Age]</w:t>
      </w:r>
    </w:p>
    <w:p>
      <w:r>
        <w:pict>
          <v:rect style="width:0;height:1.5pt" o:hralign="center" o:hrstd="t" o:hr="t"/>
        </w:pict>
      </w:r>
    </w:p>
    <w:bookmarkEnd w:id="20"/>
    <w:bookmarkStart w:id="22" w:name="section"/>
    <w:p>
      <w:pPr>
        <w:pStyle w:val="Heading2"/>
      </w:pPr>
      <w:bookmarkStart w:id="21" w:name="introduction"/>
      <w:bookmarkEnd w:id="21"/>
    </w:p>
    <w:p>
      <w:pPr>
        <w:pStyle w:val="FirstParagraph"/>
      </w:pPr>
      <w:r>
        <w:t xml:space="preserve">H3 &gt;1.0 Introduction and Clinical Context</w:t>
      </w:r>
    </w:p>
    <w:p>
      <w:pPr>
        <w:pStyle w:val="BodyText"/>
      </w:pPr>
      <w:r>
        <w:t xml:space="preserve">The purpose of this comprehensive Lab Report is to document the detailed findings of an extensive optometric examination conducted within the metropolitan healthcare landscape of</w:t>
      </w:r>
      <w:r>
        <w:t xml:space="preserve"> </w:t>
      </w:r>
      <w:r>
        <w:rPr>
          <w:bCs/>
          <w:b/>
        </w:rPr>
        <w:t xml:space="preserve">India Bangalore</w:t>
      </w:r>
      <w:r>
        <w:t xml:space="preserve">. As a rapidly developing urban hub, Bangalore presents unique environmental challenges for ocular health, including high levels of particulate matter pollution, variable climatic conditions ranging from moderate temperatures to intense seasonal glare, and a distinct lifestyle characterized by significant digital exposure. This report serves as a critical document for the primary care physician, specialist ophthalmologist, and the patient itself to understand the current status of visual function and ocular health.</w:t>
      </w:r>
      <w:r>
        <w:br/>
      </w:r>
      <w:r>
        <w:br/>
      </w:r>
      <w:r>
        <w:t xml:space="preserve">The scope of this</w:t>
      </w:r>
      <w:r>
        <w:t xml:space="preserve"> </w:t>
      </w:r>
      <w:r>
        <w:rPr>
          <w:bCs/>
          <w:b/>
        </w:rPr>
        <w:t xml:space="preserve">Optometrist</w:t>
      </w:r>
      <w:r>
        <w:t xml:space="preserve"> </w:t>
      </w:r>
      <w:r>
        <w:t xml:space="preserve">evaluation goes beyond simple refractive error correction. It encompasses a holistic assessment of binocular vision, accommodative function, retinal health, and intraocular pressure. By adhering to international clinical standards while addressing the specific epidemiological trends observed in</w:t>
      </w:r>
      <w:r>
        <w:t xml:space="preserve"> </w:t>
      </w:r>
      <w:r>
        <w:rPr>
          <w:bCs/>
          <w:b/>
        </w:rPr>
        <w:t xml:space="preserve">India Bangalore</w:t>
      </w:r>
      <w:r>
        <w:t xml:space="preserve">, this report aims to provide actionable insights for preventive care and therapeutic intervention.</w:t>
      </w:r>
    </w:p>
    <w:p>
      <w:r>
        <w:pict>
          <v:rect style="width:0;height:1.5pt" o:hralign="center" o:hrstd="t" o:hr="t"/>
        </w:pict>
      </w:r>
    </w:p>
    <w:bookmarkEnd w:id="22"/>
    <w:bookmarkStart w:id="24" w:name="section-1"/>
    <w:p>
      <w:pPr>
        <w:pStyle w:val="Heading2"/>
      </w:pPr>
      <w:bookmarkStart w:id="23" w:name="methodology"/>
      <w:bookmarkEnd w:id="23"/>
    </w:p>
    <w:p>
      <w:pPr>
        <w:pStyle w:val="FirstParagraph"/>
      </w:pPr>
      <w:r>
        <w:t xml:space="preserve">H3 &gt;1.1 Methodology and Equipment</w:t>
      </w:r>
    </w:p>
    <w:p>
      <w:pPr>
        <w:pStyle w:val="BodyText"/>
      </w:pPr>
      <w:r>
        <w:t xml:space="preserve">The examination was performed using state-of-the-art diagnostic equipment standard in leading clinics across</w:t>
      </w:r>
      <w:r>
        <w:t xml:space="preserve"> </w:t>
      </w:r>
      <w:r>
        <w:rPr>
          <w:bCs/>
          <w:b/>
        </w:rPr>
        <w:t xml:space="preserve">India Bangalore</w:t>
      </w:r>
      <w:r>
        <w:t xml:space="preserve">. Key instruments utilized include:</w:t>
      </w:r>
    </w:p>
    <w:p>
      <w:pPr>
        <w:pStyle w:val="BodyText"/>
      </w:pPr>
      <w:r>
        <w:t xml:space="preserve">Auto-refractor/keratometer for initial objective refractive assessment.</w:t>
      </w:r>
    </w:p>
    <w:p>
      <w:pPr>
        <w:pStyle w:val="BodyText"/>
      </w:pPr>
      <w:r>
        <w:t xml:space="preserve">Slit-lamp biomicroscope for anterior segment evaluation.</w:t>
      </w:r>
    </w:p>
    <w:p>
      <w:pPr>
        <w:pStyle w:val="BodyText"/>
      </w:pPr>
      <w:r>
        <w:t xml:space="preserve">Digital Retinal Camera (Fundus Photography) for posterior pole documentation, crucial for detecting diabetic retinopathy and hypertensive changes prevalent in the demographic of</w:t>
      </w:r>
      <w:r>
        <w:t xml:space="preserve"> </w:t>
      </w:r>
      <w:r>
        <w:rPr>
          <w:bCs/>
          <w:b/>
        </w:rPr>
        <w:t xml:space="preserve">India Bangalore</w:t>
      </w:r>
      <w:r>
        <w:t xml:space="preserve">.</w:t>
      </w:r>
    </w:p>
    <w:bookmarkEnd w:id="24"/>
    <w:bookmarkStart w:id="26" w:name="section-2"/>
    <w:p>
      <w:pPr>
        <w:pStyle w:val="Heading2"/>
      </w:pPr>
      <w:bookmarkStart w:id="25" w:name="findings"/>
      <w:bookmarkEnd w:id="25"/>
    </w:p>
    <w:p>
      <w:pPr>
        <w:pStyle w:val="FirstParagraph"/>
      </w:pPr>
      <w:r>
        <w:t xml:space="preserve">H3 &gt;2.0 Clinical Findings</w:t>
      </w:r>
    </w:p>
    <w:p>
      <w:pPr>
        <w:pStyle w:val="BodyText"/>
      </w:pPr>
      <w:r>
        <w:t xml:space="preserve">The following data represents the objective measurements taken during the session. All values are consistent with normal physiological ranges unless specified otherwise.</w:t>
      </w:r>
    </w:p>
    <w:p>
      <w:pPr>
        <w:pStyle w:val="BodyText"/>
      </w:pPr>
      <w:r>
        <w:t xml:space="preserve">Metric</w:t>
      </w:r>
    </w:p>
    <w:bookmarkEnd w:id="26"/>
    <w:p>
      <w:pPr>
        <w:pStyle w:val="BodyText"/>
      </w:pPr>
      <w:r>
        <w:t xml:space="preserve">Right Eye (OD)</w:t>
      </w:r>
    </w:p>
    <w:p>
      <w:pPr>
        <w:pStyle w:val="BodyText"/>
      </w:pPr>
      <w:r>
        <w:t xml:space="preserve">Left Eye (OS)</w:t>
      </w:r>
    </w:p>
    <w:p>
      <w:pPr>
        <w:pStyle w:val="BodyText"/>
      </w:pPr>
      <w:r>
        <w:t xml:space="preserve">Spherical Refraction</w:t>
      </w:r>
    </w:p>
    <w:p>
      <w:pPr>
        <w:pStyle w:val="BodyText"/>
      </w:pPr>
      <w:r>
        <w:t xml:space="preserve">-1.25 D</w:t>
      </w:r>
    </w:p>
    <w:p>
      <w:pPr>
        <w:pStyle w:val="BodyText"/>
      </w:pPr>
      <w:r>
        <w:br/>
      </w:r>
      <w:r>
        <w:rPr>
          <w:bCs/>
          <w:b/>
        </w:rPr>
        <w:t xml:space="preserve">Cylindrical Refraction (Astigmatism)</w:t>
      </w:r>
      <w:r>
        <w:t xml:space="preserve"> </w:t>
      </w:r>
      <w:r>
        <w:t xml:space="preserve">OD: -0.50 D @ 180° | OS: -0.25 D @ 175°</w:t>
      </w:r>
      <w:r>
        <w:br/>
      </w:r>
      <w:r>
        <w:rPr>
          <w:bCs/>
          <w:b/>
        </w:rPr>
        <w:t xml:space="preserve">Axial Length:</w:t>
      </w:r>
      <w:r>
        <w:rPr>
          <w:iCs/>
          <w:i/>
        </w:rPr>
        <w:t xml:space="preserve">OD:</w:t>
      </w:r>
      <w:r>
        <w:t xml:space="preserve">23.8mm</w:t>
      </w:r>
      <w:r>
        <w:t xml:space="preserve"> </w:t>
      </w:r>
      <w:r>
        <w:rPr>
          <w:iCs/>
          <w:i/>
        </w:rPr>
        <w:t xml:space="preserve">OS :</w:t>
      </w:r>
      <w:r>
        <w:t xml:space="preserve">24.1mm</w:t>
      </w:r>
      <w:r>
        <w:br/>
      </w:r>
      <w:r>
        <w:rPr>
          <w:bCs/>
          <w:b/>
        </w:rPr>
        <w:t xml:space="preserve">Intraocular Pressure (Tonometry):</w:t>
      </w:r>
      <w:r>
        <w:rPr>
          <w:iCs/>
          <w:i/>
        </w:rPr>
        <w:t xml:space="preserve">OD:</w:t>
      </w:r>
      <w:r>
        <w:t xml:space="preserve"> </w:t>
      </w:r>
      <w:r>
        <w:t xml:space="preserve">14 mmHg</w:t>
      </w:r>
      <w:r>
        <w:t xml:space="preserve"> </w:t>
      </w:r>
      <w:r>
        <w:rPr>
          <w:iCs/>
          <w:i/>
        </w:rPr>
        <w:t xml:space="preserve">OS :</w:t>
      </w:r>
      <w:r>
        <w:rPr>
          <w:iCs/>
          <w:i/>
        </w:rPr>
        <w:t xml:space="preserve"> </w:t>
      </w:r>
      <w:r>
        <w:rPr>
          <w:bCs/>
          <w:b/>
          <w:iCs/>
          <w:i/>
        </w:rPr>
        <w:t xml:space="preserve">Vision Correction:</w:t>
      </w:r>
      <w:r>
        <w:br/>
      </w:r>
    </w:p>
    <w:p>
      <w:pPr>
        <w:pStyle w:val="BodyText"/>
      </w:pPr>
      <w:r>
        <w:t xml:space="preserve">Visual Acuity (Uncorrected):</w:t>
      </w:r>
    </w:p>
    <w:p>
      <w:pPr>
        <w:pStyle w:val="BodyText"/>
      </w:pPr>
      <w:r>
        <w:t xml:space="preserve">Right Eye: 20/40 Left Eye: 20/35</w:t>
      </w:r>
      <w:r>
        <w:t xml:space="preserve"> </w:t>
      </w:r>
      <w:r>
        <w:rPr>
          <w:bCs/>
          <w:b/>
        </w:rPr>
        <w:t xml:space="preserve">Best Corrected Visual Acuity (BCVA):</w:t>
      </w:r>
      <w:r>
        <w:t xml:space="preserve"> </w:t>
      </w:r>
      <w:r>
        <w:t xml:space="preserve">Right Eye: 20 /15 Left Eye : 20 /15</w:t>
      </w:r>
      <w:r>
        <w:br/>
      </w:r>
      <w:r>
        <w:br/>
      </w:r>
      <w:bookmarkStart w:id="27" w:name="anterior"/>
      <w:bookmarkEnd w:id="27"/>
      <w:r>
        <w:t xml:space="preserve">H3 &gt;2.1 Anterior Segment Analysis</w:t>
      </w:r>
    </w:p>
    <w:p>
      <w:pPr>
        <w:pStyle w:val="BodyText"/>
      </w:pPr>
      <w:r>
        <w:t xml:space="preserve">The slit-lamp examination revealed clear corneas with no evidence of keratitis, which is a common concern in</w:t>
      </w:r>
      <w:r>
        <w:t xml:space="preserve"> </w:t>
      </w:r>
      <w:r>
        <w:rPr>
          <w:bCs/>
          <w:b/>
        </w:rPr>
        <w:t xml:space="preserve">India Bangalore</w:t>
      </w:r>
      <w:r>
        <w:t xml:space="preserve"> </w:t>
      </w:r>
      <w:r>
        <w:t xml:space="preserve">due to airborne dust and pollution levels. The tear film breakup time was measured at 8 seconds, indicating mild evaporative dry eye disease. This finding is highly correlated with the prolonged screen-time habits typical of the IT sector workforce prevalent in Bangalore.</w:t>
      </w:r>
      <w:r>
        <w:br/>
      </w:r>
      <w:r>
        <w:br/>
      </w:r>
      <w:r>
        <w:t xml:space="preserve">The conjunctiva showed slight hyperemia but no significant follicular reaction, ruling out viral or allergic conjunctivitis at this stage. The anterior chamber was deep and quiet, with no cells or flare present.</w:t>
      </w:r>
    </w:p>
    <w:p>
      <w:r>
        <w:pict>
          <v:rect style="width:0;height:1.5pt" o:hralign="center" o:hrstd="t" o:hr="t"/>
        </w:pict>
      </w:r>
    </w:p>
    <w:p>
      <w:pPr>
        <w:pStyle w:val="FirstParagraph"/>
      </w:pPr>
      <w:bookmarkStart w:id="28" w:name="posterior"/>
      <w:bookmarkEnd w:id="28"/>
    </w:p>
    <w:p>
      <w:pPr>
        <w:pStyle w:val="BodyText"/>
      </w:pPr>
      <w:r>
        <w:t xml:space="preserve">H3 &gt;2.2 Posterior Segment and Retinal Health</w:t>
      </w:r>
    </w:p>
    <w:p>
      <w:pPr>
        <w:pStyle w:val="BodyText"/>
      </w:pPr>
      <w:r>
        <w:t xml:space="preserve">The dilated fundus examination is a critical component of this</w:t>
      </w:r>
      <w:r>
        <w:t xml:space="preserve"> </w:t>
      </w:r>
      <w:r>
        <w:rPr>
          <w:bCs/>
          <w:b/>
        </w:rPr>
        <w:t xml:space="preserve">Optometrist</w:t>
      </w:r>
      <w:r>
        <w:t xml:space="preserve"> </w:t>
      </w:r>
      <w:r>
        <w:t xml:space="preserve">report. In the context of healthcare in</w:t>
      </w:r>
      <w:r>
        <w:t xml:space="preserve"> </w:t>
      </w:r>
      <w:r>
        <w:rPr>
          <w:bCs/>
          <w:b/>
        </w:rPr>
        <w:t xml:space="preserve">India Bangalore</w:t>
      </w:r>
      <w:r>
        <w:t xml:space="preserve">, screening for diabetic retinopathy and hypertensive retinopathy is paramount given the high prevalence of metabolic disorders in the region.</w:t>
      </w:r>
      <w:r>
        <w:br/>
      </w:r>
      <w:r>
        <w:br/>
      </w:r>
      <w:r>
        <w:t xml:space="preserve">The optic disc appeared healthy with a cup-to-disc ratio of 0.3, well within normal limits, suggesting no signs of glaucomatous damage. The macula was flat and showed appropriate foveal reflex. No hemorrhages, exudates, or microaneurysms were observed in the retinal periphery or posterior pole.</w:t>
      </w:r>
    </w:p>
    <w:p>
      <w:r>
        <w:pict>
          <v:rect style="width:0;height:1.5pt" o:hralign="center" o:hrstd="t" o:hr="t"/>
        </w:pict>
      </w:r>
    </w:p>
    <w:p>
      <w:pPr>
        <w:pStyle w:val="FirstParagraph"/>
      </w:pPr>
      <w:bookmarkStart w:id="29" w:name="binocular"/>
      <w:bookmarkEnd w:id="29"/>
    </w:p>
    <w:p>
      <w:pPr>
        <w:pStyle w:val="BodyText"/>
      </w:pPr>
      <w:r>
        <w:t xml:space="preserve">H3 &gt;2.3 Binocular Vision and Accommodation</w:t>
      </w:r>
    </w:p>
    <w:p>
      <w:pPr>
        <w:pStyle w:val="BodyText"/>
      </w:pPr>
      <w:r>
        <w:t xml:space="preserve">Standard orthoptic testing was performed to assess eye teaming and focusing ability.</w:t>
      </w:r>
      <w:r>
        <w:br/>
      </w:r>
    </w:p>
    <w:p>
      <w:pPr>
        <w:pStyle w:val="BodyText"/>
      </w:pPr>
      <w:r>
        <w:t xml:space="preserve">Near Point of Convergence: 7 cm (Normal range is &lt;10 cm).</w:t>
      </w:r>
    </w:p>
    <w:p>
      <w:pPr>
        <w:pStyle w:val="BodyText"/>
      </w:pPr>
      <w:r>
        <w:t xml:space="preserve">Positive Fusional Vergence: Adequate.</w:t>
      </w:r>
    </w:p>
    <w:p>
      <w:pPr>
        <w:pStyle w:val="FirstParagraph"/>
      </w:pPr>
      <w:r>
        <w:t xml:space="preserve">The patient exhibited normal accommodative amplitude for their age group. However, a slight reduction in accommodative facility was noted, which may contribute to digital eye strain symptoms often reported by residents of</w:t>
      </w:r>
      <w:r>
        <w:t xml:space="preserve"> </w:t>
      </w:r>
      <w:r>
        <w:rPr>
          <w:bCs/>
          <w:b/>
        </w:rPr>
        <w:t xml:space="preserve">India Bangalore</w:t>
      </w:r>
      <w:r>
        <w:t xml:space="preserve"> </w:t>
      </w:r>
      <w:r>
        <w:t xml:space="preserve">who work long hours on computers.</w:t>
      </w:r>
    </w:p>
    <w:p>
      <w:r>
        <w:pict>
          <v:rect style="width:0;height:1.5pt" o:hralign="center" o:hrstd="t" o:hr="t"/>
        </w:pict>
      </w:r>
    </w:p>
    <w:p>
      <w:pPr>
        <w:pStyle w:val="FirstParagraph"/>
      </w:pPr>
      <w:bookmarkStart w:id="30" w:name="analysis"/>
      <w:bookmarkEnd w:id="30"/>
    </w:p>
    <w:p>
      <w:pPr>
        <w:pStyle w:val="BodyText"/>
      </w:pPr>
      <w:r>
        <w:t xml:space="preserve">H3 &gt;3.0 Discussion and Clinical Interpretation</w:t>
      </w:r>
    </w:p>
    <w:p>
      <w:pPr>
        <w:pStyle w:val="BodyText"/>
      </w:pPr>
      <w:r>
        <w:t xml:space="preserve">The findings from this examination indicate that the patient suffers from mild myopia with negligible astigmatism. The primary visual complaint of blurred distance vision is fully correctable with low-power spectacles. However, the more significant clinical finding is the presence of early-stage dry eye disease and mild accommodative fatigue.</w:t>
      </w:r>
      <w:r>
        <w:br/>
      </w:r>
      <w:r>
        <w:br/>
      </w:r>
      <w:r>
        <w:t xml:space="preserve">In</w:t>
      </w:r>
      <w:r>
        <w:t xml:space="preserve"> </w:t>
      </w:r>
      <w:r>
        <w:rPr>
          <w:bCs/>
          <w:b/>
        </w:rPr>
        <w:t xml:space="preserve">India Bangalore</w:t>
      </w:r>
      <w:r>
        <w:t xml:space="preserve">, environmental factors play a substantial role in ocular surface health. The combination of outdoor pollution and indoor air conditioning can exacerbate tear evaporation. Furthermore, the cultural shift towards digital literacy has led to increased screen time among all age groups. This report highlights the need for behavioral modifications rather than solely pharmacological interventions.</w:t>
      </w:r>
      <w:r>
        <w:br/>
      </w:r>
      <w:r>
        <w:br/>
      </w:r>
      <w:r>
        <w:t xml:space="preserve">The</w:t>
      </w:r>
      <w:r>
        <w:t xml:space="preserve"> </w:t>
      </w:r>
      <w:r>
        <w:rPr>
          <w:bCs/>
          <w:b/>
        </w:rPr>
        <w:t xml:space="preserve">Optometrist</w:t>
      </w:r>
      <w:r>
        <w:t xml:space="preserve"> </w:t>
      </w:r>
      <w:r>
        <w:t xml:space="preserve">notes that while the refractive error is simple, the binocular vision dysfunction suggests that standard single-vision lenses might not be sufficient to alleviate symptoms of fatigue during prolonged near work. The high prevalence of undiagnosed ocular issues in urban centers like Bangalore makes this comprehensive screening vital.</w:t>
      </w:r>
    </w:p>
    <w:p>
      <w:r>
        <w:pict>
          <v:rect style="width:0;height:1.5pt" o:hralign="center" o:hrstd="t" o:hr="t"/>
        </w:pict>
      </w:r>
    </w:p>
    <w:p>
      <w:pPr>
        <w:pStyle w:val="FirstParagraph"/>
      </w:pPr>
      <w:bookmarkStart w:id="31" w:name="recommendations"/>
      <w:bookmarkEnd w:id="31"/>
    </w:p>
    <w:p>
      <w:pPr>
        <w:pStyle w:val="BodyText"/>
      </w:pPr>
      <w:r>
        <w:t xml:space="preserve">H3 &gt;4.0 Recommendations and Management Plan</w:t>
      </w:r>
    </w:p>
    <w:p>
      <w:pPr>
        <w:pStyle w:val="BodyText"/>
      </w:pPr>
      <w:r>
        <w:t xml:space="preserve">Based on the data collected, the following management plan is recommended:</w:t>
      </w:r>
    </w:p>
    <w:p>
      <w:pPr>
        <w:pStyle w:val="BodyText"/>
      </w:pPr>
      <w:r>
        <w:t xml:space="preserve">Prefractive Correction: Dispense single-vision spectacles for distance vision with a prescription of OD: -1.25/-0.50 x 180 and OS: -0.75/-0.25 x 175.</w:t>
      </w:r>
    </w:p>
    <w:p>
      <w:pPr>
        <w:pStyle w:val="BodyText"/>
      </w:pPr>
      <w:r>
        <w:t xml:space="preserve">Artificial Tears: Prescribe preservative-free lubricating eye drops to be used twice daily, particularly before starting work or after prolonged exposure to AC environments common in</w:t>
      </w:r>
      <w:r>
        <w:t xml:space="preserve"> </w:t>
      </w:r>
      <w:r>
        <w:rPr>
          <w:bCs/>
          <w:b/>
        </w:rPr>
        <w:t xml:space="preserve">India Bangalore</w:t>
      </w:r>
      <w:r>
        <w:t xml:space="preserve">.</w:t>
      </w:r>
    </w:p>
    <w:p>
      <w:pPr>
        <w:pStyle w:val="BodyText"/>
      </w:pPr>
      <w:r>
        <w:t xml:space="preserve">Digital Hygiene Education: Educate the patient on the 20-20-20 rule (every 20 minutes, look at something 20 feet away for 20 seconds). This is crucial for reducing digital eye strain.</w:t>
      </w:r>
    </w:p>
    <w:p>
      <w:pPr>
        <w:pStyle w:val="FirstParagraph"/>
      </w:pPr>
      <w:r>
        <w:br/>
      </w:r>
      <w:r>
        <w:rPr>
          <w:bCs/>
          <w:b/>
        </w:rPr>
        <w:t xml:space="preserve">Follow-Up:</w:t>
      </w:r>
    </w:p>
    <w:p>
      <w:pPr>
        <w:pStyle w:val="BodyText"/>
      </w:pPr>
      <w:r>
        <w:t xml:space="preserve">A follow-up appointment is scheduled in six months to monitor intraocular pressure and check for any progression of myopia or development of anterior segment changes related to environmental exposure in</w:t>
      </w:r>
      <w:r>
        <w:t xml:space="preserve"> </w:t>
      </w:r>
      <w:r>
        <w:rPr>
          <w:bCs/>
          <w:b/>
        </w:rPr>
        <w:t xml:space="preserve">India Bangalore</w:t>
      </w:r>
      <w:r>
        <w:t xml:space="preserve">.</w:t>
      </w:r>
    </w:p>
    <w:p>
      <w:r>
        <w:pict>
          <v:rect style="width:0;height:1.5pt" o:hralign="center" o:hrstd="t" o:hr="t"/>
        </w:pict>
      </w:r>
    </w:p>
    <w:p>
      <w:pPr>
        <w:pStyle w:val="FirstParagraph"/>
      </w:pPr>
      <w:bookmarkStart w:id="32" w:name="conclusion"/>
      <w:bookmarkEnd w:id="32"/>
    </w:p>
    <w:p>
      <w:pPr>
        <w:pStyle w:val="BodyText"/>
      </w:pPr>
      <w:r>
        <w:t xml:space="preserve">H3 &gt;5.0 Conclusion</w:t>
      </w:r>
    </w:p>
    <w:p>
      <w:pPr>
        <w:pStyle w:val="BodyText"/>
      </w:pPr>
      <w:r>
        <w:t xml:space="preserve">This Lab Report confirms that the patient presents with mild refractive error and early signs of digital eye strain associated with dry eye disease. The ocular health status is otherwise good, with no signs of glaucoma, cataract, or diabetic retinopathy. By addressing the environmental and lifestyle factors specific to living in</w:t>
      </w:r>
      <w:r>
        <w:t xml:space="preserve"> </w:t>
      </w:r>
      <w:r>
        <w:rPr>
          <w:bCs/>
          <w:b/>
        </w:rPr>
        <w:t xml:space="preserve">India Bangalore</w:t>
      </w:r>
      <w:r>
        <w:t xml:space="preserve">, proactive management can maintain high-quality vision and prevent long-term ocular morbidity. This document serves as a formal record for all treating medical professionals involved in the patient's care.</w:t>
      </w:r>
    </w:p>
    <w:p>
      <w:r>
        <w:pict>
          <v:rect style="width:0;height:1.5pt" o:hralign="center" o:hrstd="t" o:hr="t"/>
        </w:pict>
      </w:r>
    </w:p>
    <w:p>
      <w:pPr>
        <w:pStyle w:val="FirstParagraph"/>
      </w:pPr>
      <w:r>
        <w:rPr>
          <w:iCs/>
          <w:i/>
        </w:rPr>
        <w:t xml:space="preserve">Report Generated By:</w:t>
      </w:r>
      <w:r>
        <w:br/>
      </w:r>
      <w:r>
        <w:rPr>
          <w:bCs/>
          <w:b/>
        </w:rPr>
        <w:t xml:space="preserve">Name:</w:t>
      </w:r>
      <w:r>
        <w:t xml:space="preserve"> </w:t>
      </w:r>
      <w:r>
        <w:t xml:space="preserve">[Optometrist Name]</w:t>
      </w:r>
      <w:r>
        <w:br/>
      </w:r>
      <w:r>
        <w:rPr>
          <w:bCs/>
          <w:b/>
        </w:rPr>
        <w:t xml:space="preserve">License Number:</w:t>
      </w:r>
      <w:r>
        <w:t xml:space="preserve"> </w:t>
      </w:r>
      <w:r>
        <w:t xml:space="preserve">[License Number]</w:t>
      </w:r>
      <w:r>
        <w:t xml:space="preserve"> </w:t>
      </w:r>
      <w:r>
        <w:rPr>
          <w:bCs/>
          <w:b/>
        </w:rPr>
        <w:t xml:space="preserve">Council: Optometric Council of India</w:t>
      </w:r>
      <w:r>
        <w:br/>
      </w:r>
    </w:p>
    <w:p>
      <w:pPr>
        <w:pStyle w:val="BodyText"/>
      </w:pPr>
      <w:r>
        <w:t xml:space="preserve">Date Signed :&lt;[Date]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Comprehensive Optometric Evaluation in India, Bangalore</dc:title>
  <dc:creator/>
  <dc:language>en</dc:language>
  <cp:keywords/>
  <dcterms:created xsi:type="dcterms:W3CDTF">2026-07-29T03:52:07Z</dcterms:created>
  <dcterms:modified xsi:type="dcterms:W3CDTF">2026-07-29T03:52:07Z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