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Lab</w:t>
      </w:r>
      <w:r>
        <w:t xml:space="preserve"> </w:t>
      </w:r>
      <w:r>
        <w:t xml:space="preserve">Report:</w:t>
      </w:r>
      <w:r>
        <w:t xml:space="preserve"> </w:t>
      </w:r>
      <w:r>
        <w:t xml:space="preserve">Diagnostic</w:t>
      </w:r>
      <w:r>
        <w:t xml:space="preserve"> </w:t>
      </w:r>
      <w:r>
        <w:t xml:space="preserve">Protocols</w:t>
      </w:r>
      <w:r>
        <w:t xml:space="preserve"> </w:t>
      </w:r>
      <w:r>
        <w:t xml:space="preserve">and</w:t>
      </w:r>
      <w:r>
        <w:t xml:space="preserve"> </w:t>
      </w:r>
      <w:r>
        <w:t xml:space="preserve">Clinical</w:t>
      </w:r>
      <w:r>
        <w:t xml:space="preserve"> </w:t>
      </w:r>
      <w:r>
        <w:t xml:space="preserve">Efficacy</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Iraq Baghdad Department of Ophthalmic Services</w:t>
      </w:r>
      <w:r>
        <w:br/>
      </w:r>
      <w:r>
        <w:rPr>
          <w:bCs/>
          <w:b/>
        </w:rPr>
        <w:t xml:space="preserve">Central Diagnostic Laboratory Unit</w:t>
      </w:r>
      <w:r>
        <w:br/>
      </w:r>
    </w:p>
    <w:bookmarkStart w:id="26" w:name="X5000b5539e991e44db0ae5a0d843c4225218a0b"/>
    <w:p>
      <w:pPr>
        <w:pStyle w:val="Heading1"/>
      </w:pPr>
      <w:r>
        <w:t xml:space="preserve">Laboratory Report on Clinical Optometry Standards in Iraq Baghdad</w:t>
      </w:r>
    </w:p>
    <w:bookmarkStart w:id="20" w:name="executive-summary-and-introduction"/>
    <w:p>
      <w:pPr>
        <w:pStyle w:val="Heading2"/>
      </w:pPr>
      <w:r>
        <w:t xml:space="preserve">1. Executive Summary and Introduction</w:t>
      </w:r>
    </w:p>
    <w:p>
      <w:pPr>
        <w:pStyle w:val="FirstParagraph"/>
      </w:pPr>
      <w:r>
        <w:t xml:space="preserve">This Lab Report serves as a critical documentation of the current state of optometric practice, specifically focusing on the diagnostic efficacy and procedural standards employed by licensed Optometrist practitioners within the urban healthcare infrastructure of Iraq Baghdad. The primary objective of this study is to evaluate how modern optometric techniques are being adapted to local environmental factors, patient demographics, and infrastructural realities specific to Baghdad.</w:t>
      </w:r>
    </w:p>
    <w:p>
      <w:pPr>
        <w:pStyle w:val="BodyText"/>
      </w:pPr>
      <w:r>
        <w:t xml:space="preserve">As one of the most densely populated cities in the Middle East, Iraq Baghdad presents a unique epidemiological landscape for eye health. The intersection of high ambient dust levels, significant solar exposure due to climatic conditions, and a growing prevalence of lifestyle-related non-communicable diseases such as diabetes mellitus has created a complex demand for comprehensive eye care. This report aims to bridge the gap between theoretical optometric protocols and their practical application in Baghdad’s clinical settings.</w:t>
      </w:r>
    </w:p>
    <w:bookmarkEnd w:id="20"/>
    <w:bookmarkStart w:id="21" w:name="methodology"/>
    <w:p>
      <w:pPr>
        <w:pStyle w:val="Heading2"/>
      </w:pPr>
      <w:r>
        <w:t xml:space="preserve">2. Methodology</w:t>
      </w:r>
    </w:p>
    <w:p>
      <w:pPr>
        <w:pStyle w:val="FirstParagraph"/>
      </w:pPr>
      <w:r>
        <w:t xml:space="preserve">Data was collected over a six-month period across five major ophthalmic centers in Iraq Baghdad. The study involved prospective observational analysis of patient records managed by certified Optometrist professionals. Key metrics included the accuracy of refraction diagnoses, the detection rates of early-stage diabetic retinopathy, and the utilization rate of advanced diagnostic imaging technologies.</w:t>
      </w:r>
    </w:p>
    <w:p>
      <w:pPr>
        <w:pStyle w:val="BodyText"/>
      </w:pPr>
      <w:r>
        <w:t xml:space="preserve">The laboratory protocols established for this report were designed to align with international standards while accounting for local resource constraints. The focus was strictly on maintaining high diagnostic integrity despite potential interruptions in power supply or supply chain variations that occasionally affect medical equipment maintenance in the region.</w:t>
      </w:r>
    </w:p>
    <w:bookmarkEnd w:id="21"/>
    <w:bookmarkStart w:id="24" w:name="Xdc288196d7838c6af26d32f19cb41252703c474"/>
    <w:p>
      <w:pPr>
        <w:pStyle w:val="Heading2"/>
      </w:pPr>
      <w:r>
        <w:t xml:space="preserve">3. Environmental and Demographic Factors Influencing Optometry in Iraq Baghdad</w:t>
      </w:r>
    </w:p>
    <w:bookmarkStart w:id="22" w:name="climate-and-occupational-strain"/>
    <w:p>
      <w:pPr>
        <w:pStyle w:val="Heading3"/>
      </w:pPr>
      <w:r>
        <w:t xml:space="preserve">3.1 Climate and Occupational Strain</w:t>
      </w:r>
    </w:p>
    <w:p>
      <w:pPr>
        <w:pStyle w:val="FirstParagraph"/>
      </w:pPr>
      <w:r>
        <w:t xml:space="preserve">A significant portion of the population in Iraq Baghdad engages in outdoor labor or commutes through areas with high particulate matter. Consequently, there is a marked increase in cases of dry eye syndrome, allergic conjunctivitis, and corneal abrasions. The Optometrist role here extends beyond standard refractive error correction to managing environmental ocular surface diseases. This report highlights the necessity for Optometrists to be proficient in lubricant therapy and anti-inflammatory management strategies tailored to arid conditions.</w:t>
      </w:r>
    </w:p>
    <w:bookmarkEnd w:id="22"/>
    <w:bookmarkStart w:id="23" w:name="the-burden-of-diabetes"/>
    <w:p>
      <w:pPr>
        <w:pStyle w:val="Heading3"/>
      </w:pPr>
      <w:r>
        <w:t xml:space="preserve">3.2 The Burden of Diabetes</w:t>
      </w:r>
    </w:p>
    <w:p>
      <w:pPr>
        <w:pStyle w:val="FirstParagraph"/>
      </w:pPr>
      <w:r>
        <w:t xml:space="preserve">Iraq Baghdad has seen a rising incidence of Type 2 diabetes mellitus. Since diabetic retinopathy is a leading cause of preventable blindness, the role of the Optometrist in early detection is paramount. This Lab Report underscores that routine optometric screenings must include fundus examination capabilities. Our findings indicate that when Optometrists are equipped with portable non-mydriatic cameras, their ability to refer high-risk patients to ophthalmologists for surgical intervention improves significantly.</w:t>
      </w:r>
    </w:p>
    <w:bookmarkEnd w:id="23"/>
    <w:bookmarkEnd w:id="24"/>
    <w:bookmarkStart w:id="25" w:name="X8ef92cbdd44c52f1745cd7e8ebb5bd35943bae5"/>
    <w:p>
      <w:pPr>
        <w:pStyle w:val="Heading2"/>
      </w:pPr>
      <w:r>
        <w:t xml:space="preserve">4. Diagnostic Accuracy and Technological Integration</w:t>
      </w:r>
    </w:p>
    <w:p>
      <w:pPr>
        <w:pStyle w:val="FirstParagraph"/>
      </w:pPr>
      <w:r>
        <w:t xml:space="preserve">The core of this Lab Report analyzes the performance of diagnostic equipment in Iraq Baghdad. Traditional trial frames and phoropters remain standard, but there is a growing adoption of digital retinoscopy and automated refraction systems.</w:t>
      </w:r>
    </w:p>
    <w:p>
      <w:pPr>
        <w:pStyle w:val="BodyText"/>
      </w:pPr>
      <w:r>
        <w:rPr>
          <w:bCs/>
          <w:b/>
        </w:rPr>
        <w:t xml:space="preserve">Diagnostic Procedure</w:t>
      </w:r>
    </w:p>
    <w:bookmarkEnd w:id="25"/>
    <w:bookmarkEnd w:id="26"/>
    <w:p>
      <w:pPr>
        <w:pStyle w:val="BodyText"/>
      </w:pPr>
      <w:r>
        <w:rPr>
          <w:bCs/>
          <w:b/>
        </w:rPr>
        <w:t xml:space="preserve">Average Time (Minutes)</w:t>
      </w:r>
    </w:p>
    <w:p>
      <w:pPr>
        <w:pStyle w:val="BodyText"/>
      </w:pPr>
      <w:r>
        <w:rPr>
          <w:bCs/>
          <w:b/>
        </w:rPr>
        <w:t xml:space="preserve">Efficacy Rating in Baghdad Context</w:t>
      </w:r>
      <w:r>
        <w:t xml:space="preserve"> </w:t>
      </w:r>
      <w:r>
        <w:t xml:space="preserve">td &gt; Subjective Refraction by Optometrist | 12 | High, provided lighting is stable | /td &gt; /tr</w:t>
      </w:r>
    </w:p>
    <w:p>
      <w:pPr>
        <w:pStyle w:val="BodyText"/>
      </w:pPr>
      <w:r>
        <w:rPr>
          <w:bCs/>
          <w:b/>
        </w:rPr>
        <w:t xml:space="preserve">Digital Slit Lamp Biomicroscopy</w:t>
      </w:r>
      <w:r>
        <w:t xml:space="preserve">8</w:t>
      </w:r>
      <w:r>
        <w:t xml:space="preserve"> </w:t>
      </w:r>
      <w:r>
        <w:t xml:space="preserve">. tr &gt; td &gt; Color Vision Testing (Ishihara) | 3 | High, culturally neutral application | /td &gt; /tr</w:t>
      </w:r>
    </w:p>
    <w:p>
      <w:pPr>
        <w:pStyle w:val="BodyText"/>
      </w:pPr>
      <w:r>
        <w:t xml:space="preserve">. tr &gt; td Intraocular Pressure Measurement (Tonometry) 15 Variable, depends on device calibration stability | /td</w:t>
      </w:r>
    </w:p>
    <w:p>
      <w:pPr>
        <w:pStyle w:val="BodyText"/>
      </w:pPr>
      <w:r>
        <w:t xml:space="preserve">The data suggests that while subjective refraction by an Optometrist remains highly effective, the reliability of electronic devices fluctuates with voltage stability in certain Baghdad districts. Therefore, a hybrid approach where digital diagnostics are validated by manual clinical judgment is recommended as the standard protocol for Optometrist practices in this region.</w:t>
      </w:r>
    </w:p>
    <w:bookmarkStart w:id="27" w:name="Xa50f347c098dfad908079f458f77703adaabfb1"/>
    <w:p>
      <w:pPr>
        <w:pStyle w:val="Heading2"/>
      </w:pPr>
      <w:r>
        <w:t xml:space="preserve">5. Challenges and Infrastructure Limitations</w:t>
      </w:r>
    </w:p>
    <w:p>
      <w:pPr>
        <w:pStyle w:val="FirstParagraph"/>
      </w:pPr>
      <w:r>
        <w:t xml:space="preserve">This Lab Report must address the infrastructural hurdles facing medical professionals in Iraq Baghdad. Power outages can disrupt the operation of sensitive optometric equipment, leading to data loss or hardware degradation if backup systems are not employed. Furthermore, the supply chain for specialized contact lens solutions and specific ophthalmic pharmaceuticals can be inconsistent.</w:t>
      </w:r>
    </w:p>
    <w:p>
      <w:pPr>
        <w:pStyle w:val="BodyText"/>
      </w:pPr>
      <w:r>
        <w:t xml:space="preserve">However, the resilience of the Optometrist community in Iraq Baghdad has been notable. Many practitioners have established robust relationships with local suppliers and have invested in power stabilization units to ensure continuous service delivery. This adaptability is a key finding of our report, demonstrating that high-quality care is achievable despite systemic challenges.</w:t>
      </w:r>
    </w:p>
    <w:bookmarkEnd w:id="27"/>
    <w:bookmarkStart w:id="28" w:name="recommendations-for-policy-and-practice"/>
    <w:p>
      <w:pPr>
        <w:pStyle w:val="Heading2"/>
      </w:pPr>
      <w:r>
        <w:t xml:space="preserve">6. Recommendations for Policy and Practice</w:t>
      </w:r>
    </w:p>
    <w:p>
      <w:pPr>
        <w:pStyle w:val="FirstParagraph"/>
      </w:pPr>
      <w:r>
        <w:t xml:space="preserve">Based on the findings of this Lab Report, the following recommendations are submitted to health authorities in Iraq Baghdad:</w:t>
      </w:r>
    </w:p>
    <w:p>
      <w:pPr>
        <w:numPr>
          <w:ilvl w:val="0"/>
          <w:numId w:val="1001"/>
        </w:numPr>
        <w:pStyle w:val="Compact"/>
      </w:pPr>
      <w:r>
        <w:t xml:space="preserve">Equipment Standardization:. tr &gt; li &gt;</w:t>
      </w:r>
    </w:p>
    <w:p>
      <w:pPr>
        <w:numPr>
          <w:ilvl w:val="0"/>
          <w:numId w:val="1000"/>
        </w:numPr>
        <w:pStyle w:val="Compact"/>
      </w:pPr>
      <w:r>
        <w:t xml:space="preserve">Tele-Optometry Networks:. tr &gt; li &gt;</w:t>
      </w:r>
    </w:p>
    <w:p>
      <w:pPr>
        <w:numPr>
          <w:ilvl w:val="0"/>
          <w:numId w:val="1000"/>
        </w:numPr>
        <w:pStyle w:val="Compact"/>
      </w:pPr>
      <w:r>
        <w:t xml:space="preserve">Public Awareness Campaigns:.</w:t>
      </w:r>
    </w:p>
    <w:bookmarkEnd w:id="28"/>
    <w:bookmarkStart w:id="29" w:name="conclusion"/>
    <w:p>
      <w:pPr>
        <w:pStyle w:val="Heading2"/>
      </w:pPr>
      <w:r>
        <w:t xml:space="preserve">7. Conclusion</w:t>
      </w:r>
    </w:p>
    <w:p>
      <w:pPr>
        <w:pStyle w:val="FirstParagraph"/>
      </w:pPr>
      <w:r>
        <w:t xml:space="preserve">In conclusion, this Lab Report affirms that the profession of Optometry in Iraq Baghdad is evolving into a critical component of the public health infrastructure. The skilled application of optometric techniques by trained Optometrist professionals provides an essential first line of defense against vision loss and systemic disease detection.</w:t>
      </w:r>
    </w:p>
    <w:p>
      <w:pPr>
        <w:pStyle w:val="BodyText"/>
      </w:pPr>
      <w:r>
        <w:t xml:space="preserve">The unique environmental and health challenges posed by living in Iraq Baghdad require a nuanced approach to eye care. By integrating rigorous laboratory standards with practical clinical adaptability, the healthcare system can ensure that all citizens receive timely and accurate diagnostic services. The data presented herein supports the continued investment in optometric training and infrastructure within Iraq Baghdad, highlighting it as a strategic priority for national health security.</w:t>
      </w:r>
    </w:p>
    <w:p>
      <w:pPr>
        <w:pStyle w:val="BodyText"/>
      </w:pPr>
      <w:r>
        <w:t xml:space="preserve">This document serves as both a record of current capabilities and a roadmap for future improvements, ensuring that the Optometrist remains at the forefront of eye healthcare delivery in the capital.</w:t>
      </w:r>
    </w:p>
    <w:p>
      <w:pPr>
        <w:pStyle w:val="BodyText"/>
      </w:pPr>
      <w:r>
        <w:rPr>
          <w:bCs/>
          <w:b/>
        </w:rPr>
        <w:t xml:space="preserve">Approved By:</w:t>
      </w:r>
      <w:r>
        <w:t xml:space="preserve">Sr. Laboratory Analyst</w:t>
      </w:r>
      <w:r>
        <w:br/>
      </w:r>
      <w:r>
        <w:t xml:space="preserve">Ophthalmic Diagnostic Unit</w:t>
      </w:r>
      <w:r>
        <w:br/>
      </w:r>
      <w:r>
        <w:t xml:space="preserve">Baghdad, Iraq</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Lab Report: Diagnostic Protocols and Clinical Efficacy in Iraq Baghdad</dc:title>
  <dc:creator/>
  <dc:language>en</dc:language>
  <cp:keywords/>
  <dcterms:created xsi:type="dcterms:W3CDTF">2026-07-29T03:51:10Z</dcterms:created>
  <dcterms:modified xsi:type="dcterms:W3CDTF">2026-07-29T03:51:10Z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