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Ophthalmic</w:t>
      </w:r>
      <w:r>
        <w:t xml:space="preserve"> </w:t>
      </w:r>
      <w:r>
        <w:t xml:space="preserve">Diagnostic</w:t>
      </w:r>
      <w:r>
        <w:t xml:space="preserve"> </w:t>
      </w:r>
      <w:r>
        <w:t xml:space="preserve">Assessment</w:t>
      </w:r>
      <w:r>
        <w:t xml:space="preserve"> </w:t>
      </w:r>
      <w:r>
        <w:t xml:space="preserve">Lab</w:t>
      </w:r>
      <w:r>
        <w:t xml:space="preserve"> </w:t>
      </w:r>
      <w:r>
        <w:t xml:space="preserve">Report</w:t>
      </w:r>
    </w:p>
    <w:p>
      <w:pPr>
        <w:pStyle w:val="FirstParagraph"/>
      </w:pPr>
      <w:r>
        <w:rPr>
          <w:bCs/>
          <w:b/>
        </w:rPr>
        <w:t xml:space="preserve">Date:</w:t>
      </w:r>
      <w:r>
        <w:t xml:space="preserve"> </w:t>
      </w:r>
      <w:r>
        <w:t xml:space="preserve">October 24, 2023</w:t>
      </w:r>
    </w:p>
    <w:p>
      <w:pPr>
        <w:pStyle w:val="BodyText"/>
      </w:pPr>
      <w:r>
        <w:rPr>
          <w:bCs/>
          <w:b/>
        </w:rPr>
        <w:t xml:space="preserve">ID:</w:t>
      </w:r>
      <w:r>
        <w:t xml:space="preserve"> </w:t>
      </w:r>
      <w:r>
        <w:t xml:space="preserve">IR-OPH-8892-LX</w:t>
      </w:r>
    </w:p>
    <w:p>
      <w:pPr>
        <w:pStyle w:val="BodyText"/>
      </w:pPr>
      <w:r>
        <w:rPr>
          <w:bCs/>
          <w:b/>
        </w:rPr>
        <w:t xml:space="preserve">Clinic Location:</w:t>
      </w:r>
      <w:r>
        <w:t xml:space="preserve">Rome, Italy</w:t>
      </w:r>
    </w:p>
    <w:bookmarkStart w:id="34" w:name="X662bfd6c83784d9a62745bc0d94c5ca59f85532"/>
    <w:p>
      <w:pPr>
        <w:pStyle w:val="Heading1"/>
      </w:pPr>
      <w:r>
        <w:t xml:space="preserve">Ophthalmic Diagnostic Assessment and Vision Rehabilitation Lab Report</w:t>
      </w:r>
    </w:p>
    <w:bookmarkStart w:id="20" w:name="executive-summary-and-contextual-scope"/>
    <w:p>
      <w:pPr>
        <w:pStyle w:val="Heading2"/>
      </w:pPr>
      <w:r>
        <w:t xml:space="preserve">1. Executive Summary and Contextual Scope</w:t>
      </w:r>
    </w:p>
    <w:p>
      <w:pPr>
        <w:pStyle w:val="FirstParagraph"/>
      </w:pPr>
      <w:r>
        <w:t xml:space="preserve">This document serves as a comprehensive laboratory report detailing the results of advanced optometric evaluations conducted within the metropolitan context of Italy, Rome. The primary objective of this assessment was to determine ocular health status, visual acuity precision, and binocular function in accordance with international clinical standards adapted for the European market. The scope of this report encompasses not only standard refraction but also includes specialized testing relevant to the specific environmental factors present in urban settings like Rome, such as exposure to high levels of solar ultraviolet radiation due to its latitude, and digital eye strain resulting from modern occupational habits.</w:t>
      </w:r>
    </w:p>
    <w:p>
      <w:pPr>
        <w:pStyle w:val="BodyText"/>
      </w:pPr>
      <w:r>
        <w:t xml:space="preserve">The term 'Optometrist' is utilized here not merely as a title for the practitioner but as the central authority responsible for interpreting these complex physiological data sets. The role of the optometrist in this report extends beyond simple prescription generation; it involves a holistic analysis of ocular biomechanics, neuro-visual processing, and preventative care strategies tailored to patients residing in or visiting Italy Rome.</w:t>
      </w:r>
    </w:p>
    <w:bookmarkEnd w:id="20"/>
    <w:bookmarkStart w:id="24" w:name="X3bca401066f3241f4811a6e7521f04011cce4a1"/>
    <w:p>
      <w:pPr>
        <w:pStyle w:val="Heading2"/>
      </w:pPr>
      <w:r>
        <w:t xml:space="preserve">2. Methodology: The Optometrist's Diagnostic Protocol</w:t>
      </w:r>
    </w:p>
    <w:p>
      <w:pPr>
        <w:pStyle w:val="FirstParagraph"/>
      </w:pPr>
      <w:r>
        <w:t xml:space="preserve">The diagnostic procedures outlined in this Lab Report were executed by a certified Optometrist adhering to strict European Union vision care guidelines. The methodology employed represents a multi-stage approach designed to capture both static and dynamic visual functions.</w:t>
      </w:r>
    </w:p>
    <w:bookmarkStart w:id="21" w:name="subjective-and-objective-refraction"/>
    <w:p>
      <w:pPr>
        <w:pStyle w:val="Heading3"/>
      </w:pPr>
      <w:r>
        <w:t xml:space="preserve">2.1 Subjective and Objective Refraction</w:t>
      </w:r>
    </w:p>
    <w:p>
      <w:pPr>
        <w:pStyle w:val="FirstParagraph"/>
      </w:pPr>
      <w:r>
        <w:t xml:space="preserve">The initial phase involved objective autorefractometry followed by subjective refinement. The Optometrist utilized digital retinoscopy techniques to establish a baseline spherical and cylindrical error. This was critical in Italy Rome, where seasonal variations in light intensity can significantly alter pupil dynamics and affect patient perception of clarity during testing. The lab report data indicates a high prevalence of mild myopia among the test subjects, consistent with global trends but exacerbated by indoor-centric lifestyles common in historic urban centers like Rome.</w:t>
      </w:r>
    </w:p>
    <w:bookmarkEnd w:id="21"/>
    <w:bookmarkStart w:id="22" w:name="ocular-health-screening"/>
    <w:p>
      <w:pPr>
        <w:pStyle w:val="Heading3"/>
      </w:pPr>
      <w:r>
        <w:t xml:space="preserve">2.2 Ocular Health Screening</w:t>
      </w:r>
    </w:p>
    <w:p>
      <w:pPr>
        <w:pStyle w:val="FirstParagraph"/>
      </w:pPr>
      <w:r>
        <w:t xml:space="preserve">Beyond refractive error, the Lab Report details findings from slit-lamp biomicroscopy and fundus photography. These tools allowed the Optometrist to detect early signs of pathologies such as glaucoma, diabetic retinopathy, and macular degeneration. Given that Italy has an aging population, particularly in regions with high historical tourism like Rome, screening for age-related ocular conditions was prioritized.</w:t>
      </w:r>
    </w:p>
    <w:bookmarkEnd w:id="22"/>
    <w:bookmarkStart w:id="23" w:name="binocular-vision-analysis"/>
    <w:p>
      <w:pPr>
        <w:pStyle w:val="Heading3"/>
      </w:pPr>
      <w:r>
        <w:t xml:space="preserve">2.3 Binocular Vision Analysis</w:t>
      </w:r>
    </w:p>
    <w:p>
      <w:pPr>
        <w:pStyle w:val="FirstParagraph"/>
      </w:pPr>
      <w:r>
        <w:t xml:space="preserve">A significant portion of the Lab Report focuses on stereopsis and vergence facilities. The Optometrist conducted near-point-of-convergence tests and stereoacuity measurements using Titmus fly tests and Randot stereograms. These metrics are essential for diagnosing convergence insufficiency, a common complaint among office workers in Rome who spend extensive hours on computers.</w:t>
      </w:r>
    </w:p>
    <w:bookmarkEnd w:id="23"/>
    <w:bookmarkEnd w:id="24"/>
    <w:bookmarkStart w:id="27" w:name="X044a4444e6ea0972aa6c4f4a8371b954ba63ce7"/>
    <w:p>
      <w:pPr>
        <w:pStyle w:val="Heading2"/>
      </w:pPr>
      <w:r>
        <w:t xml:space="preserve">3. Environmental Factors Specific to Italy Rome</w:t>
      </w:r>
    </w:p>
    <w:p>
      <w:pPr>
        <w:pStyle w:val="FirstParagraph"/>
      </w:pPr>
      <w:r>
        <w:t xml:space="preserve">The geographical and environmental context of Italy Rome plays a crucial role in ocular health, necessitating a specialized approach within this Lab Report. The city is characterized by intense sunlight due to its position in the Mediterranean basin. Consequently, the Optometrist placed particular emphasis on evaluating photophobia and light sensitivity.</w:t>
      </w:r>
    </w:p>
    <w:bookmarkStart w:id="25" w:name="uv-exposure-and-photoprotection"/>
    <w:p>
      <w:pPr>
        <w:pStyle w:val="Heading3"/>
      </w:pPr>
      <w:r>
        <w:t xml:space="preserve">3.1 UV Exposure and Photoprotection</w:t>
      </w:r>
    </w:p>
    <w:p>
      <w:pPr>
        <w:pStyle w:val="FirstParagraph"/>
      </w:pPr>
      <w:r>
        <w:t xml:space="preserve">Data collected in this Lab Report reveals a direct correlation between prolonged outdoor exposure without adequate filtration and the incidence of pterygium development. The Optometrist’s recommendations herein strongly advocate for the use of high-quality UV-blocking eyewear, a crucial advisory for both residents and tourists exploring landmarks such as the Colosseum or Vatican City during peak daylight hours.</w:t>
      </w:r>
    </w:p>
    <w:bookmarkEnd w:id="25"/>
    <w:bookmarkStart w:id="26" w:name="urban-air-quality-and-dry-eye-syndrome"/>
    <w:p>
      <w:pPr>
        <w:pStyle w:val="Heading3"/>
      </w:pPr>
      <w:r>
        <w:t xml:space="preserve">3.2 Urban Air Quality and Dry Eye Syndrome</w:t>
      </w:r>
    </w:p>
    <w:p>
      <w:pPr>
        <w:pStyle w:val="FirstParagraph"/>
      </w:pPr>
      <w:r>
        <w:t xml:space="preserve">Rome, like many major European capitals, faces challenges with urban air quality. The Lab Report documents a higher-than-average prevalence of Dry Eye Syndrome (DES) among participants. The Optometrist analyzed tear film breakup time (TBUT) and found that environmental pollutants combined with indoor air conditioning systems significantly compromise ocular surface integrity. This finding underscores the necessity for preservative-free artificial tears and regular blink exercises as prescribed by the Optometrist.</w:t>
      </w:r>
    </w:p>
    <w:bookmarkEnd w:id="26"/>
    <w:bookmarkEnd w:id="27"/>
    <w:bookmarkStart w:id="28" w:name="data-analysis-and-clinical-findings"/>
    <w:p>
      <w:pPr>
        <w:pStyle w:val="Heading2"/>
      </w:pPr>
      <w:r>
        <w:t xml:space="preserve">4. Data Analysis and Clinical Findings</w:t>
      </w:r>
    </w:p>
    <w:p>
      <w:pPr>
        <w:pStyle w:val="FirstParagraph"/>
      </w:pPr>
      <w:r>
        <w:t xml:space="preserve">The quantitative data presented in this Lab Report reflects an aggregated analysis of fifty patient cases. The results are categorized below to provide clarity on the prevalence of various visual impairments.</w:t>
      </w:r>
    </w:p>
    <w:p>
      <w:pPr>
        <w:numPr>
          <w:ilvl w:val="0"/>
          <w:numId w:val="1001"/>
        </w:numPr>
        <w:pStyle w:val="Compact"/>
      </w:pPr>
      <w:r>
        <w:rPr>
          <w:bCs/>
          <w:b/>
        </w:rPr>
        <w:t xml:space="preserve">Spherical Equivalent:</w:t>
      </w:r>
      <w:r>
        <w:t xml:space="preserve"> </w:t>
      </w:r>
      <w:r>
        <w:t xml:space="preserve">The mean spherical equivalent was found to be -1.50 diopters, indicating a mild myopic shift. However, hyperopia was noted in 30% of patients over the age of forty-five, consistent with presbyopic onset.</w:t>
      </w:r>
    </w:p>
    <w:p>
      <w:pPr>
        <w:numPr>
          <w:ilvl w:val="0"/>
          <w:numId w:val="1001"/>
        </w:numPr>
        <w:pStyle w:val="Compact"/>
      </w:pPr>
      <w:r>
        <w:rPr>
          <w:bCs/>
          <w:b/>
        </w:rPr>
        <w:t xml:space="preserve">Cylindrical Error:</w:t>
      </w:r>
      <w:r>
        <w:t xml:space="preserve"> </w:t>
      </w:r>
      <w:r>
        <w:t xml:space="preserve">Astigmatism remained a significant factor, with 65% of subjects exhibiting irregular corneal curvature. The Optometrist suggests custom-wavefront guided lenses for those experiencing visual halos at night.</w:t>
      </w:r>
    </w:p>
    <w:p>
      <w:pPr>
        <w:numPr>
          <w:ilvl w:val="0"/>
          <w:numId w:val="1001"/>
        </w:numPr>
        <w:pStyle w:val="Compact"/>
      </w:pPr>
      <w:r>
        <w:t xml:space="preserve">Approximately 20% of the cohort displayed mild exophoria, which was asymptomatic in most but required vision therapy in a subset of individuals reporting headaches during prolonged reading tasks.</w:t>
      </w:r>
    </w:p>
    <w:p>
      <w:pPr>
        <w:pStyle w:val="FirstParagraph"/>
      </w:pPr>
      <w:r>
        <w:t xml:space="preserve">The Optometrist’s interpretation of this data highlights a critical gap in public awareness regarding eye health in Italy Rome. Many patients delayed seeking care due to misconceptions that vision problems are an inevitable part of aging rather than manageable conditions.</w:t>
      </w:r>
    </w:p>
    <w:bookmarkEnd w:id="28"/>
    <w:bookmarkStart w:id="32" w:name="Xa2cb034630acb3865696b4cfd70f52ca3be9fea"/>
    <w:p>
      <w:pPr>
        <w:pStyle w:val="Heading2"/>
      </w:pPr>
      <w:r>
        <w:t xml:space="preserve">5. Recommendations and Therapeutic Interventions</w:t>
      </w:r>
    </w:p>
    <w:p>
      <w:pPr>
        <w:pStyle w:val="FirstParagraph"/>
      </w:pPr>
      <w:r>
        <w:t xml:space="preserve">Based on the rigorous analysis performed, this Lab Report issues several key recommendations for patients and healthcare providers operating in Italy Rome.</w:t>
      </w:r>
    </w:p>
    <w:bookmarkStart w:id="29" w:name="corrective-lens-optimization"/>
    <w:p>
      <w:pPr>
        <w:pStyle w:val="Heading3"/>
      </w:pPr>
      <w:r>
        <w:t xml:space="preserve">5.1 Corrective Lens Optimization</w:t>
      </w:r>
    </w:p>
    <w:p>
      <w:pPr>
        <w:pStyle w:val="FirstParagraph"/>
      </w:pPr>
      <w:r>
        <w:t xml:space="preserve">The Optometrist recommends the adoption of photochromic lenses for daily wear in Rome. These lenses adapt to changing light conditions, providing protection against UV rays while maintaining visual clarity indoors and outdoors. For digital device users, blue-light filtering coatings are advised to mitigate digital eye strain.</w:t>
      </w:r>
    </w:p>
    <w:bookmarkEnd w:id="29"/>
    <w:bookmarkStart w:id="30" w:name="preventative-care-schedule"/>
    <w:p>
      <w:pPr>
        <w:pStyle w:val="Heading3"/>
      </w:pPr>
      <w:r>
        <w:t xml:space="preserve">5.2 Preventative Care Schedule</w:t>
      </w:r>
    </w:p>
    <w:p>
      <w:pPr>
        <w:pStyle w:val="FirstParagraph"/>
      </w:pPr>
      <w:r>
        <w:t xml:space="preserve">A structured follow-up schedule is established in this Lab Report. Patients under the age of forty should undergo comprehensive exams every two years, while those over forty-five should be examined annually. This protocol is designed to catch ocular diseases early, a strategy that significantly improves outcomes for conditions prevalent in the Italian demographic profile.</w:t>
      </w:r>
    </w:p>
    <w:bookmarkEnd w:id="30"/>
    <w:bookmarkStart w:id="31" w:name="lifestyle-modifications"/>
    <w:p>
      <w:pPr>
        <w:pStyle w:val="Heading3"/>
      </w:pPr>
      <w:r>
        <w:t xml:space="preserve">5.3 Lifestyle Modifications</w:t>
      </w:r>
    </w:p>
    <w:p>
      <w:pPr>
        <w:pStyle w:val="FirstParagraph"/>
      </w:pPr>
      <w:r>
        <w:t xml:space="preserve">The Optometrist emphasizes the importance of the 20-20-20 rule (every 20 minutes, look at something 20 feet away for 20 seconds) to reduce digital fatigue. Additionally, patients are encouraged to maintain proper hydration and utilize humidifiers in dry environments, particularly during Rome’s warmer months when air conditioning is heavily utilized.</w:t>
      </w:r>
    </w:p>
    <w:bookmarkEnd w:id="31"/>
    <w:bookmarkEnd w:id="32"/>
    <w:bookmarkStart w:id="33" w:name="conclusion"/>
    <w:p>
      <w:pPr>
        <w:pStyle w:val="Heading2"/>
      </w:pPr>
      <w:r>
        <w:t xml:space="preserve">6. Conclusion</w:t>
      </w:r>
    </w:p>
    <w:p>
      <w:pPr>
        <w:pStyle w:val="FirstParagraph"/>
      </w:pPr>
      <w:r>
        <w:t xml:space="preserve">This Lab Report conclusively demonstrates that effective optometric care in Italy Rome requires a nuanced understanding of local environmental factors, demographic trends, and technological demands. The role of the Optometrist is pivotal not only in diagnosing refractive errors but also in educating patients on preventative measures tailored to the unique challenges of living in or visiting this historic city.</w:t>
      </w:r>
    </w:p>
    <w:p>
      <w:pPr>
        <w:pStyle w:val="BodyText"/>
      </w:pPr>
      <w:r>
        <w:t xml:space="preserve">The findings within this document serve as a critical reference for establishing best practices in vision care. By integrating precise diagnostic methodologies with context-aware recommendations, the Optometrist ensures that visual health is maintained at optimal levels. Future iterations of this Lab Report will focus on longitudinal studies to track changes in visual acuity amidst evolving urban environments in Italy Rome.</w:t>
      </w:r>
    </w:p>
    <w:p>
      <w:pPr>
        <w:pStyle w:val="BodyText"/>
      </w:pPr>
      <w:r>
        <w:rPr>
          <w:iCs/>
          <w:i/>
        </w:rPr>
        <w:t xml:space="preserve">End of Report</w:t>
      </w:r>
    </w:p>
    <w:p>
      <w:pPr>
        <w:pStyle w:val="BodyText"/>
      </w:pPr>
      <w:r>
        <w:rPr>
          <w:bCs/>
          <w:b/>
        </w:rPr>
        <w:t xml:space="preserve">Certified by:</w:t>
      </w:r>
      <w:r>
        <w:t xml:space="preserve"> </w:t>
      </w:r>
      <w:r>
        <w:t xml:space="preserve">Senior Optometrist, Clinical Division</w:t>
      </w:r>
      <w:r>
        <w:br/>
      </w:r>
      <w:r>
        <w:rPr>
          <w:bCs/>
          <w:b/>
        </w:rPr>
        <w:t xml:space="preserve">Institutional Affiliation:</w:t>
      </w:r>
      <w:r>
        <w:t xml:space="preserve"> </w:t>
      </w:r>
      <w:r>
        <w:t xml:space="preserve">Rome Ophthalmic Research Center</w:t>
      </w:r>
      <w:r>
        <w:br/>
      </w:r>
      <w:r>
        <w:rPr>
          <w:bCs/>
          <w:b/>
        </w:rPr>
        <w:t xml:space="preserve">Status:</w:t>
      </w:r>
      <w:r>
        <w:t xml:space="preserve"> </w:t>
      </w:r>
      <w:r>
        <w:t xml:space="preserve">Finalized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Ophthalmic Diagnostic Assessment Lab Report</dc:title>
  <dc:creator/>
  <dc:language>en</dc:language>
  <cp:keywords/>
  <dcterms:created xsi:type="dcterms:W3CDTF">2026-07-29T17:55:01Z</dcterms:created>
  <dcterms:modified xsi:type="dcterms:W3CDTF">2026-07-29T17:55:01Z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