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Optometric</w:t>
      </w:r>
      <w:r>
        <w:t xml:space="preserve"> </w:t>
      </w:r>
      <w:r>
        <w:t xml:space="preserve">Analysis</w:t>
      </w:r>
      <w:r>
        <w:t xml:space="preserve"> </w:t>
      </w:r>
      <w:r>
        <w:t xml:space="preserve">in</w:t>
      </w:r>
      <w:r>
        <w:t xml:space="preserve"> </w:t>
      </w:r>
      <w:r>
        <w:t xml:space="preserve">Kyoto,</w:t>
      </w:r>
      <w:r>
        <w:t xml:space="preserve"> </w:t>
      </w:r>
      <w:r>
        <w:t xml:space="preserve">Japan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Kyoto Institute of Visionary Science</w:t>
      </w:r>
      <w:r>
        <w:br/>
      </w:r>
      <w:r>
        <w:rPr>
          <w:bCs/>
          <w:b/>
        </w:rPr>
        <w:t xml:space="preserve">Jurisdiction:</w:t>
      </w:r>
      <w:r>
        <w:t xml:space="preserve">Japan Kyoto</w:t>
      </w:r>
      <w:r>
        <w:br/>
      </w:r>
    </w:p>
    <w:p>
      <w:pPr>
        <w:pStyle w:val="BodyText"/>
      </w:pPr>
      <w:r>
        <w:t xml:space="preserve">Filing Officer:Senior Optometrist Dr. Hiroshi Tanaka, OD, PhD</w:t>
      </w:r>
    </w:p>
    <w:bookmarkStart w:id="29" w:name="Xa6eb7be08f21f36ae29bfeab97d6ac2f029e971"/>
    <w:p>
      <w:pPr>
        <w:pStyle w:val="Heading1"/>
      </w:pPr>
      <w:r>
        <w:t xml:space="preserve">Laboratory Report on Advanced Optometric Diagnostics</w:t>
      </w:r>
    </w:p>
    <w:p>
      <w:pPr>
        <w:pStyle w:val="FirstParagraph"/>
      </w:pPr>
      <w:r>
        <w:rPr>
          <w:bCs/>
          <w:b/>
        </w:rPr>
        <w:t xml:space="preserve">To:</w:t>
      </w:r>
      <w:r>
        <w:t xml:space="preserve"> </w:t>
      </w:r>
      <w:r>
        <w:t xml:space="preserve">The Board of Directors, Kyoto Eye Health Association</w:t>
      </w:r>
      <w:r>
        <w:br/>
      </w:r>
      <w:r>
        <w:rPr>
          <w:bCs/>
          <w:b/>
        </w:rPr>
        <w:t xml:space="preserve">From:</w:t>
      </w:r>
      <w:r>
        <w:t xml:space="preserve">Lab Report</w:t>
      </w:r>
      <w:r>
        <w:t xml:space="preserve">: Department of Clinical Optometry</w:t>
      </w:r>
      <w:r>
        <w:br/>
      </w:r>
      <w:r>
        <w:rPr>
          <w:bCs/>
          <w:b/>
        </w:rPr>
        <w:t xml:space="preserve">Subject:</w:t>
      </w:r>
      <w:r>
        <w:t xml:space="preserve">Evaluation of Optical Technologies in the Historic Context of</w:t>
      </w:r>
      <w:r>
        <w:t xml:space="preserve">Japan Kyoto</w:t>
      </w:r>
    </w:p>
    <w:bookmarkStart w:id="20" w:name="executive-summary"/>
    <w:p>
      <w:pPr>
        <w:pStyle w:val="Heading2"/>
      </w:pPr>
      <w:r>
        <w:t xml:space="preserve">1. Executive Summary</w:t>
      </w:r>
    </w:p>
    <w:p>
      <w:pPr>
        <w:pStyle w:val="FirstParagraph"/>
      </w:pPr>
      <w:r>
        <w:t xml:space="preserve">This document serves as a comprehensive laboratory report detailing the current state and future trajectory of optometric practices within the unique geographical and cultural landscape of</w:t>
      </w:r>
      <w:r>
        <w:t xml:space="preserve">Japan Kyoto</w:t>
      </w:r>
      <w:r>
        <w:t xml:space="preserve">. The primary objective of this investigation was to assess how traditional visual acuity standards intersect with modern technological advancements in optical science. As an island nation with distinct regulatory frameworks,</w:t>
      </w:r>
      <w:r>
        <w:t xml:space="preserve"> </w:t>
      </w:r>
      <w:r>
        <w:rPr>
          <w:bCs/>
          <w:b/>
        </w:rPr>
        <w:t xml:space="preserve">Japan</w:t>
      </w:r>
      <w:r>
        <w:t xml:space="preserve"> </w:t>
      </w:r>
      <w:r>
        <w:t xml:space="preserve">presents a fascinating case study for global optometry. However, the specific region of</w:t>
      </w:r>
      <w:r>
        <w:t xml:space="preserve"> </w:t>
      </w:r>
      <w:r>
        <w:rPr>
          <w:bCs/>
          <w:b/>
        </w:rPr>
        <w:t xml:space="preserve">Kyoto</w:t>
      </w:r>
      <w:r>
        <w:t xml:space="preserve">, known for its preservation of ancient traditions alongside rapid urban development, offers a unique microcosm for this analysis.</w:t>
      </w:r>
    </w:p>
    <w:p>
      <w:pPr>
        <w:pStyle w:val="BodyText"/>
      </w:pPr>
      <w:r>
        <w:t xml:space="preserve">The findings indicate that the role of the</w:t>
      </w:r>
      <w:r>
        <w:t xml:space="preserve">Optometrist</w:t>
      </w:r>
      <w:r>
        <w:t xml:space="preserve"> </w:t>
      </w:r>
      <w:r>
        <w:t xml:space="preserve">in this region is evolving from simple refractive correction to holistic ocular health management. This report outlines the methodology, results, and implications of our recent clinical trials conducted across five major clinics in Kyoto.</w:t>
      </w:r>
    </w:p>
    <w:bookmarkEnd w:id="20"/>
    <w:bookmarkStart w:id="21" w:name="introduction-and-background"/>
    <w:p>
      <w:pPr>
        <w:pStyle w:val="Heading2"/>
      </w:pPr>
      <w:r>
        <w:t xml:space="preserve">2. Introduction and Background</w:t>
      </w:r>
    </w:p>
    <w:p>
      <w:pPr>
        <w:pStyle w:val="FirstParagraph"/>
      </w:pPr>
      <w:r>
        <w:rPr>
          <w:bCs/>
          <w:b/>
        </w:rPr>
        <w:t xml:space="preserve">Kyoto</w:t>
      </w:r>
      <w:r>
        <w:t xml:space="preserve">, once the imperial capital of</w:t>
      </w:r>
      <w:r>
        <w:t xml:space="preserve"> </w:t>
      </w:r>
      <w:r>
        <w:t xml:space="preserve">Japan</w:t>
      </w:r>
      <w:r>
        <w:t xml:space="preserve">, is a city where history breathes through every street corner. This historical preservation extends to its medical practices, yet the integration of modern technology remains robust. The local</w:t>
      </w:r>
      <w:r>
        <w:t xml:space="preserve">Optometrist</w:t>
      </w:r>
      <w:r>
        <w:t xml:space="preserve"> </w:t>
      </w:r>
      <w:r>
        <w:t xml:space="preserve">population faces a dual challenge: maintaining high standards of care consistent with international benchmarks while adapting to the specific demographic needs of Kyoto’s aging population and its influx of global tourists.</w:t>
      </w:r>
    </w:p>
    <w:p>
      <w:pPr>
        <w:pStyle w:val="BodyText"/>
      </w:pPr>
      <w:r>
        <w:t xml:space="preserve">The term "Lab Report" in this context does not refer solely to a wet-lab environment but encompasses clinical data gathered from patient interactions, diagnostic imaging sessions, and longitudinal studies. The scope of this report is strictly limited to the jurisdictional boundaries of Kyoto Prefecture, acknowledging that while national laws govern</w:t>
      </w:r>
      <w:r>
        <w:t xml:space="preserve"> </w:t>
      </w:r>
      <w:r>
        <w:t xml:space="preserve">Japan</w:t>
      </w:r>
      <w:r>
        <w:t xml:space="preserve">, local healthcare policies in Kyoto exhibit distinct characteristics.</w:t>
      </w:r>
    </w:p>
    <w:bookmarkEnd w:id="21"/>
    <w:bookmarkStart w:id="22" w:name="methodology"/>
    <w:p>
      <w:pPr>
        <w:pStyle w:val="Heading2"/>
      </w:pPr>
      <w:r>
        <w:t xml:space="preserve">3. Methodology</w:t>
      </w:r>
    </w:p>
    <w:p>
      <w:pPr>
        <w:pStyle w:val="FirstParagraph"/>
      </w:pPr>
      <w:r>
        <w:t xml:space="preserve">To ensure the integrity of this</w:t>
      </w:r>
      <w:r>
        <w:t xml:space="preserve">Lab Report</w:t>
      </w:r>
      <w:r>
        <w:t xml:space="preserve">, a mixed-methods approach was employed over a period of six months. The study included:</w:t>
      </w:r>
    </w:p>
    <w:p>
      <w:pPr>
        <w:numPr>
          <w:ilvl w:val="0"/>
          <w:numId w:val="1001"/>
        </w:numPr>
        <w:pStyle w:val="Compact"/>
      </w:pPr>
      <w:r>
        <w:rPr>
          <w:bCs/>
          <w:b/>
        </w:rPr>
        <w:t xml:space="preserve">Cohort Selection:</w:t>
      </w:r>
      <w:r>
        <w:t xml:space="preserve"> </w:t>
      </w:r>
      <w:r>
        <w:t xml:space="preserve">A total of 1,200 participants were recruited from three districts in Kyoto: Gion, Fushimi, and Sakyo. This distribution ensures representation of both historical tourism hubs and residential areas.</w:t>
      </w:r>
    </w:p>
    <w:p>
      <w:pPr>
        <w:numPr>
          <w:ilvl w:val="0"/>
          <w:numId w:val="1001"/>
        </w:numPr>
        <w:pStyle w:val="Compact"/>
      </w:pPr>
      <w:r>
        <w:rPr>
          <w:bCs/>
          <w:b/>
        </w:rPr>
        <w:t xml:space="preserve">Data Collection:</w:t>
      </w:r>
      <w:r>
        <w:t xml:space="preserve"> </w:t>
      </w:r>
      <w:r>
        <w:t xml:space="preserve">Standardized refractive data was collected by certified</w:t>
      </w:r>
      <w:r>
        <w:t xml:space="preserve">Optometrist</w:t>
      </w:r>
      <w:r>
        <w:t xml:space="preserve">s licensed under the Japanese Medical Practitioners’ Act. Advanced diagnostic tools, including Optical Coherence Tomography (OCT) and corneal topography, were utilized.</w:t>
      </w:r>
    </w:p>
    <w:p>
      <w:pPr>
        <w:numPr>
          <w:ilvl w:val="0"/>
          <w:numId w:val="1001"/>
        </w:numPr>
        <w:pStyle w:val="Compact"/>
      </w:pPr>
      <w:r>
        <w:rPr>
          <w:bCs/>
          <w:b/>
        </w:rPr>
        <w:t xml:space="preserve">Cultural Integration Analysis:</w:t>
      </w:r>
      <w:r>
        <w:t xml:space="preserve"> </w:t>
      </w:r>
      <w:r>
        <w:t xml:space="preserve">Surveys were conducted to understand how local cultural attitudes in Kyoto towards eye health influence patient compliance and treatment outcomes.</w:t>
      </w:r>
    </w:p>
    <w:bookmarkEnd w:id="22"/>
    <w:bookmarkStart w:id="25" w:name="results"/>
    <w:p>
      <w:pPr>
        <w:pStyle w:val="Heading2"/>
      </w:pPr>
      <w:r>
        <w:t xml:space="preserve">4. Results</w:t>
      </w:r>
    </w:p>
    <w:p>
      <w:pPr>
        <w:pStyle w:val="FirstParagraph"/>
      </w:pPr>
      <w:r>
        <w:t xml:space="preserve">The data gathered reveals significant trends specific to the</w:t>
      </w:r>
      <w:r>
        <w:t xml:space="preserve">Japan Kyoto</w:t>
      </w:r>
      <w:r>
        <w:t xml:space="preserve"> </w:t>
      </w:r>
      <w:r>
        <w:t xml:space="preserve">region:</w:t>
      </w:r>
    </w:p>
    <w:p>
      <w:pPr>
        <w:pStyle w:val="BodyText"/>
      </w:pPr>
      <w:r>
        <w:t xml:space="preserve">Metric</w:t>
      </w:r>
    </w:p>
    <w:p>
      <w:pPr>
        <w:pStyle w:val="BodyText"/>
      </w:pPr>
      <w:r>
        <w:t xml:space="preserve">Average Value (Kyoto Region)</w:t>
      </w:r>
    </w:p>
    <w:p>
      <w:pPr>
        <w:pStyle w:val="BodyText"/>
      </w:pPr>
      <w:r>
        <w:t xml:space="preserve">National Average (Japan)</w:t>
      </w:r>
    </w:p>
    <w:p>
      <w:pPr>
        <w:pStyle w:val="BodyText"/>
      </w:pPr>
      <w:r>
        <w:t xml:space="preserve">Difference</w:t>
      </w:r>
    </w:p>
    <w:p>
      <w:pPr>
        <w:pStyle w:val="BodyText"/>
      </w:pPr>
      <w:r>
        <w:t xml:space="preserve">Metric</w:t>
      </w:r>
    </w:p>
    <w:p>
      <w:pPr>
        <w:pStyle w:val="BodyText"/>
      </w:pPr>
      <w:r>
        <w:t xml:space="preserve">Average Value (Kyoto Region)</w:t>
      </w:r>
    </w:p>
    <w:p>
      <w:pPr>
        <w:pStyle w:val="BodyText"/>
      </w:pPr>
      <w:r>
        <w:rPr>
          <w:bCs/>
          <w:b/>
        </w:rPr>
        <w:t xml:space="preserve">Average Value (Kyoto Region)</w:t>
      </w:r>
      <w:r>
        <w:br/>
      </w:r>
      <w:r>
        <w:t xml:space="preserve">National Average (Japan) / Difference</w:t>
      </w:r>
    </w:p>
    <w:p>
      <w:pPr>
        <w:pStyle w:val="BodyText"/>
      </w:pPr>
      <w:r>
        <w:t xml:space="preserve">Metric</w:t>
      </w:r>
    </w:p>
    <w:p>
      <w:pPr>
        <w:pStyle w:val="BodyText"/>
      </w:pPr>
      <w:r>
        <w:t xml:space="preserve">Kyoto Region Average</w:t>
      </w:r>
    </w:p>
    <w:p>
      <w:pPr>
        <w:pStyle w:val="BodyText"/>
      </w:pPr>
      <w:r>
        <w:rPr>
          <w:bCs/>
          <w:b/>
        </w:rPr>
        <w:t xml:space="preserve">Average Value (Kyoto Region)</w:t>
      </w:r>
      <w:r>
        <w:br/>
      </w:r>
      <w:r>
        <w:t xml:space="preserve">National Average (Japan) / Difference</w:t>
      </w:r>
    </w:p>
    <w:p>
      <w:pPr>
        <w:pStyle w:val="BodyText"/>
      </w:pPr>
      <w:r>
        <w:t xml:space="preserve">Metric</w:t>
      </w:r>
    </w:p>
    <w:p>
      <w:pPr>
        <w:pStyle w:val="BodyText"/>
      </w:pPr>
      <w:r>
        <w:t xml:space="preserve">Kyoto Region Average</w:t>
      </w:r>
    </w:p>
    <w:p>
      <w:pPr>
        <w:pStyle w:val="BodyText"/>
      </w:pPr>
      <w:r>
        <w:rPr>
          <w:bCs/>
          <w:b/>
        </w:rPr>
        <w:t xml:space="preserve">Average Value (Kyoto Region)</w:t>
      </w:r>
      <w:r>
        <w:br/>
      </w:r>
      <w:r>
        <w:t xml:space="preserve">National Average (Japan) / Difference</w:t>
      </w:r>
    </w:p>
    <w:p>
      <w:pPr>
        <w:pStyle w:val="BodyText"/>
      </w:pPr>
      <w:r>
        <w:t xml:space="preserve">Metric</w:t>
      </w:r>
    </w:p>
    <w:p>
      <w:pPr>
        <w:pStyle w:val="BodyText"/>
      </w:pPr>
      <w:r>
        <w:t xml:space="preserve">Kyoto Region Average</w:t>
      </w:r>
    </w:p>
    <w:p>
      <w:pPr>
        <w:pStyle w:val="BodyText"/>
      </w:pPr>
      <w:r>
        <w:rPr>
          <w:bCs/>
          <w:b/>
        </w:rPr>
        <w:t xml:space="preserve">Average Value (Kyoto Region)</w:t>
      </w:r>
      <w:r>
        <w:br/>
      </w:r>
      <w:r>
        <w:t xml:space="preserve">National Average (Japan) / Difference</w:t>
      </w:r>
    </w:p>
    <w:p>
      <w:pPr>
        <w:pStyle w:val="BodyText"/>
      </w:pPr>
      <w:r>
        <w:t xml:space="preserve">Metric</w:t>
      </w:r>
    </w:p>
    <w:p>
      <w:pPr>
        <w:pStyle w:val="BodyText"/>
      </w:pPr>
      <w:r>
        <w:rPr>
          <w:bCs/>
          <w:b/>
        </w:rPr>
        <w:t xml:space="preserve">Average Value (Kyoto Region)</w:t>
      </w:r>
      <w:r>
        <w:br/>
      </w:r>
      <w:r>
        <w:t xml:space="preserve">National Average (Japan) / Difference</w:t>
      </w:r>
    </w:p>
    <w:bookmarkStart w:id="23" w:name="refractive-error-distribution"/>
    <w:p>
      <w:pPr>
        <w:pStyle w:val="Heading3"/>
      </w:pPr>
      <w:r>
        <w:t xml:space="preserve">4.1 Refractive Error Distribution</w:t>
      </w:r>
    </w:p>
    <w:p>
      <w:pPr>
        <w:pStyle w:val="FirstParagraph"/>
      </w:pPr>
      <w:r>
        <w:t xml:space="preserve">The prevalence of myopia in Kyoto remains high, consistent with national trends in</w:t>
      </w:r>
      <w:r>
        <w:t xml:space="preserve">Japan</w:t>
      </w:r>
      <w:r>
        <w:t xml:space="preserve">. However, a notable finding is the higher incidence of early-onset presbyopia among individuals over 50. This demographic shift requires the</w:t>
      </w:r>
    </w:p>
    <w:p>
      <w:pPr>
        <w:pStyle w:val="BodyText"/>
      </w:pPr>
      <w:r>
        <w:t xml:space="preserve">Optometrist</w:t>
      </w:r>
    </w:p>
    <w:p>
      <w:pPr>
        <w:pStyle w:val="BodyText"/>
      </w:pPr>
      <w:r>
        <w:t xml:space="preserve">to adjust prescription protocols significantly compared to other regions.</w:t>
      </w:r>
    </w:p>
    <w:bookmarkEnd w:id="23"/>
    <w:bookmarkStart w:id="24" w:name="impact-of-environmental-factors"/>
    <w:p>
      <w:pPr>
        <w:pStyle w:val="Heading3"/>
      </w:pPr>
      <w:r>
        <w:t xml:space="preserve">4.2 Impact of Environmental Factors</w:t>
      </w:r>
    </w:p>
    <w:p>
      <w:pPr>
        <w:pStyle w:val="FirstParagraph"/>
      </w:pPr>
      <w:r>
        <w:t xml:space="preserve">Kyoto’s unique climate, characterized by humid summers and cold winters, impacts ocular surface health. Dry eye syndrome was reported 15% more frequently in Kyoto residents compared to the national average. This highlights the need for</w:t>
      </w:r>
    </w:p>
    <w:p>
      <w:pPr>
        <w:pStyle w:val="BodyText"/>
      </w:pPr>
      <w:r>
        <w:t xml:space="preserve">Optometrist</w:t>
      </w:r>
    </w:p>
    <w:p>
      <w:pPr>
        <w:pStyle w:val="BodyText"/>
      </w:pPr>
      <w:r>
        <w:t xml:space="preserve">specialization in environmental adaptations.</w:t>
      </w:r>
    </w:p>
    <w:bookmarkEnd w:id="24"/>
    <w:bookmarkEnd w:id="25"/>
    <w:bookmarkStart w:id="26" w:name="discussion"/>
    <w:p>
      <w:pPr>
        <w:pStyle w:val="Heading2"/>
      </w:pPr>
      <w:r>
        <w:t xml:space="preserve">5. Discussion</w:t>
      </w:r>
    </w:p>
    <w:p>
      <w:pPr>
        <w:pStyle w:val="FirstParagraph"/>
      </w:pPr>
      <w:r>
        <w:t xml:space="preserve">The integration of advanced diagnostics into routine optometric care in Kyoto is a testament to the region’s commitment to medical excellence. The</w:t>
      </w:r>
    </w:p>
    <w:p>
      <w:pPr>
        <w:pStyle w:val="BodyText"/>
      </w:pPr>
      <w:r>
        <w:t xml:space="preserve">Lab Report</w:t>
      </w:r>
    </w:p>
    <w:p>
      <w:pPr>
        <w:pStyle w:val="BodyText"/>
      </w:pPr>
      <w:r>
        <w:t xml:space="preserve">data suggests that patients in Kyoto are more likely to seek preventive care than reactive treatment, a trend possibly influenced by the cultural emphasis on harmony and balance.</w:t>
      </w:r>
    </w:p>
    <w:p>
      <w:pPr>
        <w:pStyle w:val="BodyText"/>
      </w:pPr>
      <w:r>
        <w:t xml:space="preserve">However, challenges remain. The shortage of specialized</w:t>
      </w:r>
    </w:p>
    <w:p>
      <w:pPr>
        <w:pStyle w:val="BodyText"/>
      </w:pPr>
      <w:r>
        <w:t xml:space="preserve">Optometrist</w:t>
      </w:r>
    </w:p>
    <w:p>
      <w:pPr>
        <w:pStyle w:val="BodyText"/>
      </w:pPr>
      <w:r>
        <w:t xml:space="preserve">resources in rural parts of Kyoto Prefecture creates disparities in access to high-quality eye care. While urban centers like central Kyoto benefit from state-of-the-art facilities, peripheral areas lag behind.</w:t>
      </w:r>
    </w:p>
    <w:p>
      <w:pPr>
        <w:pStyle w:val="BlockText"/>
      </w:pPr>
      <w:r>
        <w:t xml:space="preserve">"The role of the</w:t>
      </w:r>
      <w:r>
        <w:t xml:space="preserve">Optometrist</w:t>
      </w:r>
    </w:p>
    <w:p>
      <w:pPr>
        <w:pStyle w:val="FirstParagraph"/>
      </w:pPr>
      <w:r>
        <w:t xml:space="preserve">in Kyoto is not just about vision correction; it is about preserving quality of life in a city that values aesthetics and precision." - Dr. Tanaka, Lead Investigator.</w:t>
      </w:r>
    </w:p>
    <w:bookmarkEnd w:id="26"/>
    <w:bookmarkStart w:id="27" w:name="conclusion-and-recommendations"/>
    <w:p>
      <w:pPr>
        <w:pStyle w:val="Heading2"/>
      </w:pPr>
      <w:r>
        <w:t xml:space="preserve">6. Conclusion and Recommendations</w:t>
      </w:r>
    </w:p>
    <w:p>
      <w:pPr>
        <w:pStyle w:val="FirstParagraph"/>
      </w:pPr>
      <w:r>
        <w:t xml:space="preserve">This</w:t>
      </w:r>
    </w:p>
    <w:p>
      <w:pPr>
        <w:pStyle w:val="BodyText"/>
      </w:pPr>
      <w:r>
        <w:t xml:space="preserve">Lab Report</w:t>
      </w:r>
    </w:p>
    <w:p>
      <w:pPr>
        <w:pStyle w:val="BodyText"/>
      </w:pPr>
      <w:r>
        <w:t xml:space="preserve">concludes that optometric practices in Kyoto are robust but require targeted improvements to address regional disparities and environmental health issues. The following recommendations are proposed:</w:t>
      </w:r>
    </w:p>
    <w:p>
      <w:pPr>
        <w:numPr>
          <w:ilvl w:val="0"/>
          <w:numId w:val="1002"/>
        </w:numPr>
        <w:pStyle w:val="Compact"/>
      </w:pPr>
      <w:r>
        <w:rPr>
          <w:bCs/>
          <w:b/>
        </w:rPr>
        <w:t xml:space="preserve">Digital Health Integration:</w:t>
      </w:r>
      <w:r>
        <w:t xml:space="preserve">Japan</w:t>
      </w:r>
      <w:r>
        <w:t xml:space="preserve">Kyoto should lead the nation in adopting tele-optometry services for remote areas, ensuring that all citizens have access to a qualified</w:t>
      </w:r>
    </w:p>
    <w:p>
      <w:pPr>
        <w:numPr>
          <w:ilvl w:val="0"/>
          <w:numId w:val="1000"/>
        </w:numPr>
        <w:pStyle w:val="Compact"/>
      </w:pPr>
      <w:r>
        <w:t xml:space="preserve">Optometrist</w:t>
      </w:r>
    </w:p>
    <w:p>
      <w:pPr>
        <w:numPr>
          <w:ilvl w:val="0"/>
          <w:numId w:val="1002"/>
        </w:numPr>
        <w:pStyle w:val="Compact"/>
      </w:pPr>
      <w:r>
        <w:rPr>
          <w:bCs/>
          <w:b/>
        </w:rPr>
        <w:t xml:space="preserve">Cultural Competency Training:</w:t>
      </w:r>
      <w:r>
        <w:t xml:space="preserve"> </w:t>
      </w:r>
      <w:r>
        <w:t xml:space="preserve">Training programs for optometric professionals should include modules on dealing with the specific cultural expectations of Kyoto residents.</w:t>
      </w:r>
    </w:p>
    <w:p>
      <w:pPr>
        <w:numPr>
          <w:ilvl w:val="0"/>
          <w:numId w:val="1002"/>
        </w:numPr>
        <w:pStyle w:val="Compact"/>
      </w:pPr>
      <w:r>
        <w:t xml:space="preserve">Environmental Research:Further research is needed into the effects of Kyoto’s local climate on ocular health, leading to tailored treatment protocols.</w:t>
      </w:r>
    </w:p>
    <w:bookmarkEnd w:id="27"/>
    <w:bookmarkStart w:id="28" w:name="references"/>
    <w:p>
      <w:pPr>
        <w:pStyle w:val="Heading2"/>
      </w:pPr>
      <w:r>
        <w:t xml:space="preserve">7. References</w:t>
      </w:r>
    </w:p>
    <w:p>
      <w:pPr>
        <w:numPr>
          <w:ilvl w:val="0"/>
          <w:numId w:val="1003"/>
        </w:numPr>
        <w:pStyle w:val="Compact"/>
      </w:pPr>
      <w:r>
        <w:t xml:space="preserve">Kyoto University Hospital Annual Ophthalmology Review, 2023.</w:t>
      </w:r>
      <w:r>
        <w:br/>
      </w:r>
    </w:p>
    <w:p>
      <w:pPr>
        <w:numPr>
          <w:ilvl w:val="0"/>
          <w:numId w:val="1003"/>
        </w:numPr>
        <w:pStyle w:val="Compact"/>
      </w:pPr>
      <w:r>
        <w:t xml:space="preserve">National Institute of Public Health in</w:t>
      </w:r>
      <w:r>
        <w:t xml:space="preserve">Japan</w:t>
      </w:r>
      <w:r>
        <w:t xml:space="preserve">, Optometric Standards Report.</w:t>
      </w:r>
      <w:r>
        <w:br/>
      </w:r>
    </w:p>
    <w:p>
      <w:pPr>
        <w:numPr>
          <w:ilvl w:val="0"/>
          <w:numId w:val="1003"/>
        </w:numPr>
        <w:pStyle w:val="Compact"/>
      </w:pPr>
      <w:r>
        <w:t xml:space="preserve">International Council of Optometry (ICO) Guidelines adapted for Asian Markets.</w:t>
      </w:r>
    </w:p>
    <w:p>
      <w:pPr>
        <w:pStyle w:val="FirstParagraph"/>
      </w:pPr>
      <w:r>
        <w:rPr>
          <w:bCs/>
          <w:b/>
        </w:rPr>
        <w:t xml:space="preserve">Note:</w:t>
      </w:r>
      <w:r>
        <w:t xml:space="preserve"> </w:t>
      </w:r>
      <w:r>
        <w:t xml:space="preserve">This document is a fictional</w:t>
      </w:r>
      <w:r>
        <w:t xml:space="preserve">Lab Report</w:t>
      </w:r>
    </w:p>
    <w:p>
      <w:pPr>
        <w:pStyle w:val="BodyText"/>
      </w:pPr>
      <w:r>
        <w:t xml:space="preserve">created for illustrative purposes. All names, institutions, and data are fabricated. The emphasis on</w:t>
      </w:r>
      <w:r>
        <w:t xml:space="preserve">Japan Kyoto</w:t>
      </w:r>
    </w:p>
    <w:p>
      <w:pPr>
        <w:pStyle w:val="BodyText"/>
      </w:pPr>
      <w:r>
        <w:t xml:space="preserve">and the role of the</w:t>
      </w:r>
      <w:r>
        <w:t xml:space="preserve">Optometrist</w:t>
      </w:r>
    </w:p>
    <w:p>
      <w:pPr>
        <w:pStyle w:val="BodyText"/>
      </w:pPr>
      <w:r>
        <w:t xml:space="preserve">is central to the narrative structure.</w:t>
      </w:r>
    </w:p>
    <w:p>
      <w:pPr>
        <w:pStyle w:val="BodyText"/>
      </w:pPr>
      <w:r>
        <w:t xml:space="preserve">© 2023 Fictional Optometric Research Group.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Optometric Analysis in Kyoto, Japan</dc:title>
  <dc:creator/>
  <dc:language>en</dc:language>
  <cp:keywords/>
  <dcterms:created xsi:type="dcterms:W3CDTF">2026-07-29T04:08:38Z</dcterms:created>
  <dcterms:modified xsi:type="dcterms:W3CDTF">2026-07-29T04:08:38Z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