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Optometrical</w:t>
      </w:r>
      <w:r>
        <w:t xml:space="preserve"> </w:t>
      </w:r>
      <w:r>
        <w:t xml:space="preserve">Assessment</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4c94c834f8b8bff6803fa9a34bd363d56eb2891"/>
    <w:p>
      <w:pPr>
        <w:pStyle w:val="Heading1"/>
      </w:pPr>
      <w:r>
        <w:t xml:space="preserve">Clinical Lab Report: Optometric Evaluation and Regulatory Standards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Malaysia Kuala Lumpur</w:t>
      </w:r>
      <w:r>
        <w:br/>
      </w:r>
      <w:r>
        <w:rPr>
          <w:bCs/>
          <w:b/>
        </w:rPr>
        <w:t xml:space="preserve">Type of Document:</w:t>
      </w:r>
      <w:r>
        <w:t xml:space="preserve"> </w:t>
      </w:r>
      <w:r>
        <w:t xml:space="preserve">Comprehensive Clinical Lab Report &amp; Service Analysis</w:t>
      </w:r>
    </w:p>
    <w:bookmarkStart w:id="20" w:name="executive-summary"/>
    <w:p>
      <w:pPr>
        <w:pStyle w:val="Heading2"/>
      </w:pPr>
      <w:r>
        <w:t xml:space="preserve">1. Executive Summary</w:t>
      </w:r>
    </w:p>
    <w:p>
      <w:pPr>
        <w:pStyle w:val="FirstParagraph"/>
      </w:pPr>
      <w:r>
        <w:t xml:space="preserve">This comprehensive lab report outlines the operational, clinical, and regulatory frameworks governing optometric practices within the dynamic urban landscape of Malaysia Kuala Lumpur. As a rapidly developing metropolitan hub, Malaysia Kuala Lumpur presents unique challenges and opportunities for vision care providers. This document serves as a critical analysis of how an independent</w:t>
      </w:r>
      <w:r>
        <w:t xml:space="preserve"> </w:t>
      </w:r>
      <w:r>
        <w:rPr>
          <w:bCs/>
          <w:b/>
        </w:rPr>
        <w:t xml:space="preserve">Optometrist</w:t>
      </w:r>
      <w:r>
        <w:t xml:space="preserve"> </w:t>
      </w:r>
      <w:r>
        <w:t xml:space="preserve">must adapt their clinical protocols to meet the high standards required by local regulatory bodies while addressing the diverse demographic needs of the population in Malaysia Kuala Lumpur. The report emphasizes that precision in diagnosis, adherence to local statutes, and patient-centric care are non-negotiable elements for successful practice management.</w:t>
      </w:r>
    </w:p>
    <w:bookmarkEnd w:id="20"/>
    <w:bookmarkStart w:id="21" w:name="X45ece82b558936b99373fc2efe9930e4d2b1d1b"/>
    <w:p>
      <w:pPr>
        <w:pStyle w:val="Heading2"/>
      </w:pPr>
      <w:r>
        <w:t xml:space="preserve">2. Regulatory Framework and Professional Standards</w:t>
      </w:r>
    </w:p>
    <w:p>
      <w:pPr>
        <w:pStyle w:val="FirstParagraph"/>
      </w:pPr>
      <w:r>
        <w:t xml:space="preserve">The foundation of any professional service provided by an</w:t>
      </w:r>
      <w:r>
        <w:t xml:space="preserve"> </w:t>
      </w:r>
      <w:r>
        <w:rPr>
          <w:bCs/>
          <w:b/>
        </w:rPr>
        <w:t xml:space="preserve">Optometrist</w:t>
      </w:r>
      <w:r>
        <w:t xml:space="preserve"> </w:t>
      </w:r>
      <w:r>
        <w:t xml:space="preserve">in this region is strict adherence to the regulations set forth by the Malaysian Ministry of Health and the Private Healthcare Facilities and Services Act. In Malaysia Kuala Lumpur, where healthcare tourism and local premium services converge, compliance is paramount.</w:t>
      </w:r>
    </w:p>
    <w:p>
      <w:pPr>
        <w:pStyle w:val="BodyText"/>
      </w:pPr>
      <w:r>
        <w:t xml:space="preserve">The primary regulatory body overseeing optometric practice is responsible for ensuring that every licensed</w:t>
      </w:r>
      <w:r>
        <w:t xml:space="preserve"> </w:t>
      </w:r>
      <w:r>
        <w:rPr>
          <w:bCs/>
          <w:b/>
        </w:rPr>
        <w:t xml:space="preserve">Optometrist</w:t>
      </w:r>
      <w:r>
        <w:t xml:space="preserve"> </w:t>
      </w:r>
      <w:r>
        <w:t xml:space="preserve">maintains current competency in clinical skills. The lab report highlights that practitioners in Malaysia Kuala Lumpur must undergo continuous professional development (CPD) to stay abreast of advancements in ocular imaging technology and pharmacological management. Failure to comply with these standards not only jeopardizes the license but also undermines public trust, which is a vital asset for any medical practice.</w:t>
      </w:r>
    </w:p>
    <w:bookmarkEnd w:id="21"/>
    <w:bookmarkStart w:id="25" w:name="X9abb5075a82aa080f7002536db7dae22460c353"/>
    <w:p>
      <w:pPr>
        <w:pStyle w:val="Heading2"/>
      </w:pPr>
      <w:r>
        <w:t xml:space="preserve">3. Clinical Methodology and Diagnostic Protocols</w:t>
      </w:r>
    </w:p>
    <w:p>
      <w:pPr>
        <w:pStyle w:val="FirstParagraph"/>
      </w:pPr>
      <w:r>
        <w:t xml:space="preserve">The core function of an</w:t>
      </w:r>
      <w:r>
        <w:t xml:space="preserve"> </w:t>
      </w:r>
      <w:r>
        <w:rPr>
          <w:bCs/>
          <w:b/>
        </w:rPr>
        <w:t xml:space="preserve">Optometrist</w:t>
      </w:r>
      <w:r>
        <w:t xml:space="preserve"> </w:t>
      </w:r>
      <w:r>
        <w:t xml:space="preserve">involves rigorous diagnostic testing. This section details the standard operating procedures (SOPs) that must be followed in a laboratory or clinical setting within Malaysia Kuala Lumpur.</w:t>
      </w:r>
    </w:p>
    <w:bookmarkStart w:id="22" w:name="refractive-assessment"/>
    <w:p>
      <w:pPr>
        <w:pStyle w:val="Heading3"/>
      </w:pPr>
      <w:r>
        <w:t xml:space="preserve">3.1 Refractive Assessment</w:t>
      </w:r>
    </w:p>
    <w:p>
      <w:pPr>
        <w:pStyle w:val="FirstParagraph"/>
      </w:pPr>
      <w:r>
        <w:t xml:space="preserve">The initial phase of any optometric exam is the refractive assessment. In Malaysia Kuala Lumpur, where digital device usage is exceptionally high among the workforce, myopia rates are on the rise. The</w:t>
      </w:r>
      <w:r>
        <w:t xml:space="preserve"> </w:t>
      </w:r>
      <w:r>
        <w:rPr>
          <w:bCs/>
          <w:b/>
        </w:rPr>
        <w:t xml:space="preserve">Optometrist</w:t>
      </w:r>
      <w:r>
        <w:t xml:space="preserve"> </w:t>
      </w:r>
      <w:r>
        <w:t xml:space="preserve">must utilize automated refraction followed by subjective refinement to determine accurate lens prescriptions. It is imperative that this process is documented meticulously in patient records to ensure continuity of care.</w:t>
      </w:r>
    </w:p>
    <w:bookmarkEnd w:id="22"/>
    <w:bookmarkStart w:id="23" w:name="slit-lamp-biomicroscopy"/>
    <w:p>
      <w:pPr>
        <w:pStyle w:val="Heading3"/>
      </w:pPr>
      <w:r>
        <w:t xml:space="preserve">3.2 Slit-Lamp Biomicroscopy</w:t>
      </w:r>
    </w:p>
    <w:p>
      <w:pPr>
        <w:pStyle w:val="FirstParagraph"/>
      </w:pPr>
      <w:r>
        <w:t xml:space="preserve">This diagnostic tool allows the</w:t>
      </w:r>
      <w:r>
        <w:t xml:space="preserve"> </w:t>
      </w:r>
      <w:r>
        <w:rPr>
          <w:bCs/>
          <w:b/>
        </w:rPr>
        <w:t xml:space="preserve">Optometrist</w:t>
      </w:r>
      <w:r>
        <w:t xml:space="preserve"> </w:t>
      </w:r>
      <w:r>
        <w:t xml:space="preserve">to examine the anterior segment of the eye. Given the tropical climate of Malaysia Kuala Lumpur, issues such as allergic conjunctivitis and dry eye syndrome are prevalent due to air-conditioned environments interacting with outdoor humidity. The lab report notes that clinicians must be vigilant in detecting early signs of corneal abrasions or infectious keratitis, which require immediate intervention.</w:t>
      </w:r>
    </w:p>
    <w:bookmarkEnd w:id="23"/>
    <w:bookmarkStart w:id="24" w:name="fundus-examination-and-oct"/>
    <w:p>
      <w:pPr>
        <w:pStyle w:val="Heading3"/>
      </w:pPr>
      <w:r>
        <w:t xml:space="preserve">3.3 Fundus Examination and OCT</w:t>
      </w:r>
    </w:p>
    <w:p>
      <w:pPr>
        <w:pStyle w:val="FirstParagraph"/>
      </w:pPr>
      <w:r>
        <w:t xml:space="preserve">Detection of posterior segment diseases is critical. Optical Coherence Tomography (OCT) has become a standard tool for the modern</w:t>
      </w:r>
      <w:r>
        <w:t xml:space="preserve"> </w:t>
      </w:r>
      <w:r>
        <w:rPr>
          <w:bCs/>
          <w:b/>
        </w:rPr>
        <w:t xml:space="preserve">Optometrist</w:t>
      </w:r>
      <w:r>
        <w:t xml:space="preserve">. In Malaysia Kuala Lumpur, where diabetic prevalence is significant, regular screening for diabetic retinopathy is essential. The lab report recommends that all diagnostic equipment be calibrated daily to ensure the accuracy of data used for diagnosing glaucoma and macular degeneration.</w:t>
      </w:r>
    </w:p>
    <w:bookmarkEnd w:id="24"/>
    <w:bookmarkEnd w:id="25"/>
    <w:bookmarkStart w:id="26" w:name="X51415d04a546881039559d2950dac03152c1280"/>
    <w:p>
      <w:pPr>
        <w:pStyle w:val="Heading2"/>
      </w:pPr>
      <w:r>
        <w:t xml:space="preserve">4. Patient Demographics in Malaysia Kuala Lumpur</w:t>
      </w:r>
    </w:p>
    <w:p>
      <w:pPr>
        <w:pStyle w:val="FirstParagraph"/>
      </w:pPr>
      <w:r>
        <w:t xml:space="preserve">The urban environment of Malaysia Kuala Lumpur is characterized by a multicultural population comprising Malay, Chinese, Indian, and expatriate communities. An effective</w:t>
      </w:r>
      <w:r>
        <w:t xml:space="preserve"> </w:t>
      </w:r>
      <w:r>
        <w:rPr>
          <w:bCs/>
          <w:b/>
        </w:rPr>
        <w:t xml:space="preserve">Optometrist</w:t>
      </w:r>
      <w:r>
        <w:t xml:space="preserve"> </w:t>
      </w:r>
      <w:r>
        <w:t xml:space="preserve">must be culturally competent to provide care that resonates with these diverse groups.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Demographic Group</w:t>
            </w:r>
          </w:p>
        </w:tc>
        <w:tc>
          <w:tcPr/>
          <w:p>
            <w:pPr>
              <w:pStyle w:val="Compact"/>
              <w:jc w:val="left"/>
            </w:pPr>
            <w:r>
              <w:t xml:space="preserve">Clinical Considerations</w:t>
            </w:r>
          </w:p>
        </w:tc>
      </w:tr>
      <w:tr>
        <w:tc>
          <w:tcPr/>
          <w:p>
            <w:pPr>
              <w:pStyle w:val="Compact"/>
              <w:jc w:val="left"/>
            </w:pPr>
            <w:r>
              <w:t xml:space="preserve">Youth/Students</w:t>
            </w:r>
          </w:p>
        </w:tc>
        <w:tc>
          <w:tcPr/>
          <w:p>
            <w:pPr>
              <w:pStyle w:val="Compact"/>
              <w:jc w:val="left"/>
            </w:pPr>
            <w:r>
              <w:t xml:space="preserve">Acknowledge high rates of myopia progression; focus on orthokeratology and vision therapy options.</w:t>
            </w:r>
          </w:p>
        </w:tc>
      </w:tr>
      <w:tr>
        <w:tc>
          <w:tcPr/>
          <w:p>
            <w:pPr>
              <w:pStyle w:val="Compact"/>
              <w:jc w:val="left"/>
            </w:pPr>
            <w:r>
              <w:t xml:space="preserve">Middle-Aged Adults</w:t>
            </w:r>
          </w:p>
        </w:tc>
        <w:tc>
          <w:tcPr/>
          <w:p>
            <w:pPr>
              <w:pStyle w:val="Compact"/>
              <w:jc w:val="left"/>
            </w:pPr>
            <w:r>
              <w:t xml:space="preserve">Prioritize presbyopia management and occupational visual stress reduction for corporate workers in KLCC area.</w:t>
            </w:r>
          </w:p>
        </w:tc>
      </w:tr>
      <w:tr>
        <w:tc>
          <w:tcPr/>
          <w:p>
            <w:pPr>
              <w:pStyle w:val="Compact"/>
              <w:jc w:val="left"/>
            </w:pPr>
            <w:r>
              <w:t xml:space="preserve">Elderly Population</w:t>
            </w:r>
          </w:p>
        </w:tc>
        <w:tc>
          <w:tcPr/>
          <w:p>
            <w:pPr>
              <w:pStyle w:val="Compact"/>
              <w:jc w:val="left"/>
            </w:pPr>
            <w:r>
              <w:t xml:space="preserve">Routine screening for cataracts, glaucoma, and age-related macular degeneration (AMD).</w:t>
            </w:r>
          </w:p>
        </w:tc>
      </w:tr>
    </w:tbl>
    <w:p>
      <w:pPr>
        <w:pStyle w:val="BodyText"/>
      </w:pPr>
      <w:r>
        <w:t xml:space="preserve">This data-driven approach ensures that the services offered by an</w:t>
      </w:r>
      <w:r>
        <w:t xml:space="preserve"> </w:t>
      </w:r>
      <w:r>
        <w:rPr>
          <w:bCs/>
          <w:b/>
        </w:rPr>
        <w:t xml:space="preserve">Optometrist</w:t>
      </w:r>
      <w:r>
        <w:t xml:space="preserve"> </w:t>
      </w:r>
      <w:r>
        <w:t xml:space="preserve">are tailored to the specific epidemiological profile of Malaysia Kuala Lumpur.</w:t>
      </w:r>
    </w:p>
    <w:bookmarkEnd w:id="26"/>
    <w:bookmarkStart w:id="27" w:name="equipment-and-laboratory-maintenance"/>
    <w:p>
      <w:pPr>
        <w:pStyle w:val="Heading2"/>
      </w:pPr>
      <w:r>
        <w:t xml:space="preserve">5. Equipment and Laboratory Maintenance</w:t>
      </w:r>
    </w:p>
    <w:p>
      <w:pPr>
        <w:pStyle w:val="FirstParagraph"/>
      </w:pPr>
      <w:r>
        <w:t xml:space="preserve">A functioning lab or clinical suite requires rigorous maintenance. For any facility in Malaysia Kuala Lumpur, humidity control is a significant technical challenge. High humidity can degrade sensitive electronic components in phoropters, auto-refractors, and tonometers. The lab report stipulates that regular calibration checks must be performed by certified technicians to maintain the integrity of diagnostic data.</w:t>
      </w:r>
    </w:p>
    <w:p>
      <w:pPr>
        <w:pStyle w:val="BodyText"/>
      </w:pPr>
      <w:r>
        <w:t xml:space="preserve">Furthermore, infection control protocols are strictly monitored in Malaysia Kuala Lumpur. Sterilization of non-disposable equipment between patients is not just a best practice but a legal requirement under health and safety guidelines for clinical labs. The</w:t>
      </w:r>
      <w:r>
        <w:t xml:space="preserve"> </w:t>
      </w:r>
      <w:r>
        <w:rPr>
          <w:bCs/>
          <w:b/>
        </w:rPr>
        <w:t xml:space="preserve">Optometrist</w:t>
      </w:r>
      <w:r>
        <w:t xml:space="preserve"> </w:t>
      </w:r>
      <w:r>
        <w:t xml:space="preserve">bears the ultimate responsibility for ensuring that these protocols are followed by all support staff.</w:t>
      </w:r>
    </w:p>
    <w:bookmarkEnd w:id="27"/>
    <w:bookmarkStart w:id="28" w:name="conclusion-and-recommendations"/>
    <w:p>
      <w:pPr>
        <w:pStyle w:val="Heading2"/>
      </w:pPr>
      <w:r>
        <w:t xml:space="preserve">6. Conclusion and Recommendations</w:t>
      </w:r>
    </w:p>
    <w:p>
      <w:pPr>
        <w:pStyle w:val="FirstParagraph"/>
      </w:pPr>
      <w:r>
        <w:t xml:space="preserve">In conclusion, the practice of optometry in Malaysia Kuala Lumpur requires a sophisticated blend of clinical expertise, technological proficiency, and regulatory compliance. The role of the</w:t>
      </w:r>
      <w:r>
        <w:t xml:space="preserve"> </w:t>
      </w:r>
      <w:r>
        <w:rPr>
          <w:bCs/>
          <w:b/>
        </w:rPr>
        <w:t xml:space="preserve">Optometrist</w:t>
      </w:r>
      <w:r>
        <w:t xml:space="preserve"> </w:t>
      </w:r>
      <w:r>
        <w:t xml:space="preserve">extends beyond simple vision correction; it encompasses holistic eye health management within a complex urban ecosystem.</w:t>
      </w:r>
    </w:p>
    <w:p>
      <w:pPr>
        <w:pStyle w:val="BodyText"/>
      </w:pPr>
      <w:r>
        <w:t xml:space="preserve">This lab report recommends that future practice developments in Malaysia Kuala Lumpur focus on integrating tele-optometry services for remote consultations, thereby expanding access to care while maintaining high clinical standards. Additionally, continued investment in advanced diagnostic imaging technology is essential for the</w:t>
      </w:r>
      <w:r>
        <w:t xml:space="preserve"> </w:t>
      </w:r>
      <w:r>
        <w:rPr>
          <w:bCs/>
          <w:b/>
        </w:rPr>
        <w:t xml:space="preserve">Optometrist</w:t>
      </w:r>
      <w:r>
        <w:t xml:space="preserve"> </w:t>
      </w:r>
      <w:r>
        <w:t xml:space="preserve">to remain competitive and effective.</w:t>
      </w:r>
    </w:p>
    <w:p>
      <w:pPr>
        <w:pStyle w:val="BodyText"/>
      </w:pPr>
      <w:r>
        <w:t xml:space="preserve">All stakeholders involved in vision care delivery must recognize that the credibility of an</w:t>
      </w:r>
      <w:r>
        <w:t xml:space="preserve"> </w:t>
      </w:r>
      <w:r>
        <w:rPr>
          <w:bCs/>
          <w:b/>
        </w:rPr>
        <w:t xml:space="preserve">Optometrist</w:t>
      </w:r>
      <w:r>
        <w:t xml:space="preserve"> </w:t>
      </w:r>
      <w:r>
        <w:t xml:space="preserve">is directly linked to their adherence to these rigorous lab standards and clinical protocols. By upholding these values, the healthcare sector in Malaysia Kuala Lumpur can continue to provide world-class eye care services that meet both local and international expectations.</w:t>
      </w:r>
    </w:p>
    <w:p>
      <w:pPr>
        <w:pStyle w:val="BodyText"/>
      </w:pPr>
      <w:r>
        <w:rPr>
          <w:iCs/>
          <w:i/>
        </w:rPr>
        <w:t xml:space="preserve">This document is generated for educational and administrative purposes within the context of clinical operations in Malaysia Kuala Lumpur. All clinical decisions should be made by a licensed Optometrist based on individual patient assessments.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Optometrical Assessment and Clinical Standards in Malaysia Kuala Lumpur</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