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Comprehensive</w:t>
      </w:r>
      <w:r>
        <w:t xml:space="preserve"> </w:t>
      </w:r>
      <w:r>
        <w:t xml:space="preserve">Optometric</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f0fd73ab0e4f33e6fd210e0757dcfbb487dac31"/>
    <w:p>
      <w:pPr>
        <w:pStyle w:val="Heading1"/>
      </w:pPr>
      <w:r>
        <w:t xml:space="preserve">Clinical Laboratory &amp; Operational Report: Optometric Standards and Ecosystem in New Zealand Auckland</w:t>
      </w:r>
    </w:p>
    <w:p>
      <w:pPr>
        <w:pStyle w:val="FirstParagraph"/>
      </w:pPr>
      <w:r>
        <w:rPr>
          <w:bCs/>
          <w:b/>
        </w:rPr>
        <w:t xml:space="preserve">Date:</w:t>
      </w:r>
      <w:r>
        <w:t xml:space="preserve"> October 26, 2023</w:t>
      </w:r>
      <w:r>
        <w:br/>
      </w:r>
      <w:r>
        <w:rPr>
          <w:bCs/>
          <w:b/>
        </w:rPr>
        <w:t xml:space="preserve">Subject:</w:t>
      </w:r>
      <w:r>
        <w:t xml:space="preserve"> Analysis of Optometric Services, Regulatory Frameworks, and Patient Outcomes in New Zealand Auckland</w:t>
      </w:r>
      <w:r>
        <w:br/>
      </w:r>
      <w:r>
        <w:rPr>
          <w:bCs/>
          <w:b/>
        </w:rPr>
        <w:t xml:space="preserve">Prepared For:</w:t>
      </w:r>
      <w:r>
        <w:t xml:space="preserve"> Health Policy Review Board</w:t>
      </w:r>
    </w:p>
    <w:bookmarkEnd w:id="20"/>
    <w:bookmarkStart w:id="21" w:name="executive-summary"/>
    <w:p>
      <w:pPr>
        <w:pStyle w:val="Heading2"/>
      </w:pPr>
      <w:r>
        <w:t xml:space="preserve">1.0 Executive Summary</w:t>
      </w:r>
    </w:p>
    <w:p>
      <w:pPr>
        <w:pStyle w:val="FirstParagraph"/>
      </w:pPr>
      <w:r>
        <w:t xml:space="preserve">This document serves as a comprehensive laboratory-style report analyzing the current state of optometric care within the specific geographic and regulatory context of New Zealand Auckland. The primary objective is to evaluate how optical professionals, colloquially referred to as an Optometrist, function within this major urban hub. New Zealand Auckland represents a unique case study due its rapid demographic growth, high prevalence of myopia among youth populations, and the distinct public health funding models administered by Te Whatu Ora (Health New Zealand). This report dissects the clinical protocols, technological integration, and socioeconomic factors influencing eye health services in this region.</w:t>
      </w:r>
    </w:p>
    <w:bookmarkEnd w:id="21"/>
    <w:bookmarkStart w:id="22" w:name="introduction"/>
    <w:p>
      <w:pPr>
        <w:pStyle w:val="Heading2"/>
      </w:pPr>
      <w:r>
        <w:t xml:space="preserve">2.0 Introduction</w:t>
      </w:r>
    </w:p>
    <w:p>
      <w:pPr>
        <w:pStyle w:val="FirstParagraph"/>
      </w:pPr>
      <w:r>
        <w:t xml:space="preserve">The role of an</w:t>
      </w:r>
      <w:r>
        <w:t xml:space="preserve"> </w:t>
      </w:r>
      <w:r>
        <w:rPr>
          <w:bCs/>
          <w:b/>
        </w:rPr>
        <w:t xml:space="preserve">Optometrist</w:t>
      </w:r>
      <w:r>
        <w:t xml:space="preserve"> has evolved significantly over the past two decades. No longer merely providers of eyewear prescriptions, modern optometrists are primary eye care practitioners responsible for diagnosing ocular diseases such as glaucoma, macular degeneration, and diabetic retinopathy. In the context of</w:t>
      </w:r>
      <w:r>
        <w:t xml:space="preserve"> </w:t>
      </w:r>
      <w:r>
        <w:rPr>
          <w:bCs/>
          <w:b/>
        </w:rPr>
        <w:t xml:space="preserve">New Zealand Auckland</w:t>
      </w:r>
      <w:r>
        <w:t xml:space="preserve">, these professionals operate within a densely populated urban environment that presents specific public health challenges.</w:t>
      </w:r>
    </w:p>
    <w:p>
      <w:pPr>
        <w:pStyle w:val="BodyText"/>
      </w:pPr>
      <w:r>
        <w:t xml:space="preserve">The city of Auckland is characterized by high levels of ethnic diversity and significant socioeconomic disparities. These factors directly influence access to healthcare and the prevalence of vision-related issues. Consequently, this report analyzes the operational dynamics of an</w:t>
      </w:r>
      <w:r>
        <w:t xml:space="preserve"> </w:t>
      </w:r>
      <w:r>
        <w:rPr>
          <w:bCs/>
          <w:b/>
        </w:rPr>
        <w:t xml:space="preserve">Optometrist</w:t>
      </w:r>
      <w:r>
        <w:t xml:space="preserve"> practice in this setting, focusing on clinical efficacy, patient accessibility, and adherence to national guidelines set by the Optometry Board of New Zealand.</w:t>
      </w:r>
    </w:p>
    <w:bookmarkEnd w:id="22"/>
    <w:bookmarkStart w:id="25" w:name="methodology-and-clinical-environment"/>
    <w:p>
      <w:pPr>
        <w:pStyle w:val="Heading2"/>
      </w:pPr>
      <w:r>
        <w:t xml:space="preserve">3.0 Methodology and Clinical Environment</w:t>
      </w:r>
    </w:p>
    <w:bookmarkStart w:id="23" w:name="geographic-context-new-zealand-auckland"/>
    <w:p>
      <w:pPr>
        <w:pStyle w:val="Heading3"/>
      </w:pPr>
      <w:r>
        <w:t xml:space="preserve">3.1 Geographic Context: New Zealand Auckland</w:t>
      </w:r>
    </w:p>
    <w:p>
      <w:pPr>
        <w:pStyle w:val="FirstParagraph"/>
      </w:pPr>
      <w:r>
        <w:t xml:space="preserve">Auckland is the largest city in</w:t>
      </w:r>
      <w:r>
        <w:t xml:space="preserve"> </w:t>
      </w:r>
      <w:r>
        <w:rPr>
          <w:bCs/>
          <w:b/>
        </w:rPr>
        <w:t xml:space="preserve">New Zealand Auckland</w:t>
      </w:r>
      <w:r>
        <w:t xml:space="preserve">, home to approximately 1.7 million people, or roughly one-third of the nation's population. The density of this urban center allows for a high concentration of private practices, hospital-affiliated clinics, and community health centers. However, it also creates "health deserts" in lower socioeconomic suburbs where access to an</w:t>
      </w:r>
      <w:r>
        <w:t xml:space="preserve"> </w:t>
      </w:r>
      <w:r>
        <w:rPr>
          <w:bCs/>
          <w:b/>
        </w:rPr>
        <w:t xml:space="preserve">Optometrist</w:t>
      </w:r>
      <w:r>
        <w:t xml:space="preserve"> may be limited or financially prohibitive.</w:t>
      </w:r>
    </w:p>
    <w:p>
      <w:pPr>
        <w:pStyle w:val="BodyText"/>
      </w:pPr>
      <w:r>
        <w:t xml:space="preserve">The climate of New Zealand Auckland is temperate with high UV exposure during summer months. This environmental factor contributes to a higher incidence of pterygium and cataracts among the aging population, necessitating specific preventive screening protocols by local</w:t>
      </w:r>
      <w:r>
        <w:t xml:space="preserve"> </w:t>
      </w:r>
      <w:r>
        <w:rPr>
          <w:bCs/>
          <w:b/>
        </w:rPr>
        <w:t xml:space="preserve">Optometrist</w:t>
      </w:r>
      <w:r>
        <w:t xml:space="preserve"> practitioners.</w:t>
      </w:r>
    </w:p>
    <w:bookmarkEnd w:id="23"/>
    <w:bookmarkStart w:id="24" w:name="diagnostic-protocols"/>
    <w:p>
      <w:pPr>
        <w:pStyle w:val="Heading3"/>
      </w:pPr>
      <w:r>
        <w:t xml:space="preserve">3.2 Diagnostic Protocols</w:t>
      </w:r>
    </w:p>
    <w:p>
      <w:pPr>
        <w:pStyle w:val="FirstParagraph"/>
      </w:pPr>
      <w:r>
        <w:t xml:space="preserve">In compliance with the Optometry Board of New Zealand, every examination conducted by an</w:t>
      </w:r>
      <w:r>
        <w:t xml:space="preserve"> </w:t>
      </w:r>
      <w:r>
        <w:rPr>
          <w:bCs/>
          <w:b/>
        </w:rPr>
        <w:t xml:space="preserve">Optometrist</w:t>
      </w:r>
      <w:r>
        <w:t xml:space="preserve"> in this region must include:</w:t>
      </w:r>
    </w:p>
    <w:p>
      <w:pPr>
        <w:numPr>
          <w:ilvl w:val="0"/>
          <w:numId w:val="1001"/>
        </w:numPr>
        <w:pStyle w:val="Compact"/>
      </w:pPr>
      <w:r>
        <w:rPr>
          <w:bCs/>
          <w:b/>
        </w:rPr>
        <w:t xml:space="preserve">Cycloplegic Refraction:</w:t>
      </w:r>
      <w:r>
        <w:t xml:space="preserve"> Essential for accurate prescriptions in pediatric cases.</w:t>
      </w:r>
    </w:p>
    <w:p>
      <w:pPr>
        <w:numPr>
          <w:ilvl w:val="0"/>
          <w:numId w:val="1001"/>
        </w:numPr>
        <w:pStyle w:val="Compact"/>
      </w:pPr>
      <w:r>
        <w:rPr>
          <w:bCs/>
          <w:b/>
        </w:rPr>
        <w:t xml:space="preserve">Intraocular Pressure (IOP) Measurement:</w:t>
      </w:r>
      <w:r>
        <w:t xml:space="preserve"> Standard tonometry to screen for glaucoma.</w:t>
      </w:r>
    </w:p>
    <w:p>
      <w:pPr>
        <w:numPr>
          <w:ilvl w:val="0"/>
          <w:numId w:val="1001"/>
        </w:numPr>
        <w:pStyle w:val="Compact"/>
      </w:pPr>
      <w:r>
        <w:rPr>
          <w:bCs/>
          <w:b/>
        </w:rPr>
        <w:t xml:space="preserve">Dilated Fundus Examination:</w:t>
      </w:r>
      <w:r>
        <w:t xml:space="preserve"> Visualizing the retina and optic nerve head.</w:t>
      </w:r>
    </w:p>
    <w:p>
      <w:pPr>
        <w:numPr>
          <w:ilvl w:val="0"/>
          <w:numId w:val="1001"/>
        </w:numPr>
        <w:pStyle w:val="Compact"/>
      </w:pPr>
      <w:r>
        <w:rPr>
          <w:bCs/>
          <w:b/>
        </w:rPr>
        <w:t xml:space="preserve">OCT (Optical Coherence Tomography):</w:t>
      </w:r>
      <w:r>
        <w:t xml:space="preserve"> Widely adopted in Auckland clinics for early detection of macular changes.</w:t>
      </w:r>
    </w:p>
    <w:bookmarkEnd w:id="24"/>
    <w:bookmarkEnd w:id="25"/>
    <w:bookmarkStart w:id="28" w:name="Xa432d1c8010799c5157bd29c4c59fbc907b7d36"/>
    <w:p>
      <w:pPr>
        <w:pStyle w:val="Heading2"/>
      </w:pPr>
      <w:r>
        <w:t xml:space="preserve">4.0 Results: Service Delivery and Patient Demographics</w:t>
      </w:r>
    </w:p>
    <w:bookmarkStart w:id="26" w:name="the-rise-of-myopia-management"/>
    <w:p>
      <w:pPr>
        <w:pStyle w:val="Heading3"/>
      </w:pPr>
      <w:r>
        <w:t xml:space="preserve">4.1 The Rise of Myopia Management</w:t>
      </w:r>
    </w:p>
    <w:p>
      <w:pPr>
        <w:pStyle w:val="FirstParagraph"/>
      </w:pPr>
      <w:r>
        <w:t xml:space="preserve">A significant finding in this report is the surge in myopia (nearsightedness) cases among school-aged children in</w:t>
      </w:r>
      <w:r>
        <w:t xml:space="preserve"> </w:t>
      </w:r>
      <w:r>
        <w:rPr>
          <w:bCs/>
          <w:b/>
        </w:rPr>
        <w:t xml:space="preserve">New Zealand Auckland</w:t>
      </w:r>
      <w:r>
        <w:t xml:space="preserve">. With urbanization reducing outdoor play time, local</w:t>
      </w:r>
      <w:r>
        <w:t xml:space="preserve"> </w:t>
      </w:r>
      <w:r>
        <w:rPr>
          <w:bCs/>
          <w:b/>
        </w:rPr>
        <w:t xml:space="preserve">Optometrist</w:t>
      </w:r>
      <w:r>
        <w:t xml:space="preserve"> clinics have pivoted toward specialized "Myopia Management" services. This involves the use of orthokeratology lenses and low-dose atropine drops. The data indicates that Auckland clinics are leading the nation in adopting these advanced interventions compared to rural counterparts.</w:t>
      </w:r>
    </w:p>
    <w:bookmarkEnd w:id="26"/>
    <w:bookmarkStart w:id="27" w:name="chronic-disease-screening"/>
    <w:p>
      <w:pPr>
        <w:pStyle w:val="Heading3"/>
      </w:pPr>
      <w:r>
        <w:t xml:space="preserve">4.2 Chronic Disease Screening</w:t>
      </w:r>
    </w:p>
    <w:p>
      <w:pPr>
        <w:pStyle w:val="FirstParagraph"/>
      </w:pPr>
      <w:r>
        <w:t xml:space="preserve">The prevalence of Type 2 Diabetes in</w:t>
      </w:r>
      <w:r>
        <w:t xml:space="preserve"> </w:t>
      </w:r>
      <w:r>
        <w:rPr>
          <w:bCs/>
          <w:b/>
        </w:rPr>
        <w:t xml:space="preserve">New Zealand Auckland</w:t>
      </w:r>
      <w:r>
        <w:t xml:space="preserve"> is higher than the global average. As a result, the role of an</w:t>
      </w:r>
      <w:r>
        <w:t xml:space="preserve"> </w:t>
      </w:r>
      <w:r>
        <w:rPr>
          <w:bCs/>
          <w:b/>
        </w:rPr>
        <w:t xml:space="preserve">Optometrist</w:t>
      </w:r>
      <w:r>
        <w:t xml:space="preserve"> has expanded to include routine diabetic eye screenings. Many practices now utilize wide-field retinal cameras to screen for diabetic retinopathy without requiring dilation in every instance. This efficiency is crucial given the high patient volume typical of Auckland-based clinics.</w:t>
      </w:r>
    </w:p>
    <w:p>
      <w:pPr>
        <w:pStyle w:val="BodyText"/>
      </w:pPr>
      <w:r>
        <w:t xml:space="preserve">4.3 Māori and Pacific Health Outcomes</w:t>
      </w:r>
    </w:p>
    <w:p>
      <w:pPr>
        <w:pStyle w:val="BodyText"/>
      </w:pPr>
      <w:r>
        <w:t xml:space="preserve">A critical aspect of this report is addressing health inequities. Māori and Pacific peoples in</w:t>
      </w:r>
      <w:r>
        <w:t xml:space="preserve"> </w:t>
      </w:r>
      <w:r>
        <w:rPr>
          <w:bCs/>
          <w:b/>
        </w:rPr>
        <w:t xml:space="preserve">New Zealand Auckland</w:t>
      </w:r>
      <w:r>
        <w:t xml:space="preserve"> experience higher rates of visual impairment. The data suggests that culturally competent care provided by an</w:t>
      </w:r>
      <w:r>
        <w:t xml:space="preserve"> </w:t>
      </w:r>
      <w:r>
        <w:rPr>
          <w:bCs/>
          <w:b/>
        </w:rPr>
        <w:t xml:space="preserve">Optometrist</w:t>
      </w:r>
      <w:r>
        <w:t xml:space="preserve"> who understands these specific community needs leads to better compliance with follow-up appointments and treatment plans. Successful clinics often employ bilingual staff or partner with local iwi (tribes) to improve outreach.</w:t>
      </w:r>
    </w:p>
    <w:bookmarkEnd w:id="27"/>
    <w:bookmarkEnd w:id="28"/>
    <w:bookmarkStart w:id="32" w:name="Xf225ef39bbe4fc864d51cd9a29e8244de5f4110"/>
    <w:p>
      <w:pPr>
        <w:pStyle w:val="Heading2"/>
      </w:pPr>
      <w:r>
        <w:t xml:space="preserve">5.0 Discussion: Challenges in the Auckland Market</w:t>
      </w:r>
    </w:p>
    <w:bookmarkStart w:id="29" w:name="regulatory-and-funding-barriers"/>
    <w:p>
      <w:pPr>
        <w:pStyle w:val="Heading3"/>
      </w:pPr>
      <w:r>
        <w:t xml:space="preserve">5.1 Regulatory and Funding Barriers</w:t>
      </w:r>
    </w:p>
    <w:p>
      <w:pPr>
        <w:pStyle w:val="FirstParagraph"/>
      </w:pPr>
      <w:r>
        <w:t xml:space="preserve">A major challenge for an</w:t>
      </w:r>
      <w:r>
        <w:t xml:space="preserve"> </w:t>
      </w:r>
      <w:r>
        <w:rPr>
          <w:bCs/>
          <w:b/>
        </w:rPr>
        <w:t xml:space="preserve">Optometrist </w:t>
      </w:r>
      <w:r>
        <w:t xml:space="preserve"> in</w:t>
      </w:r>
      <w:r>
        <w:t xml:space="preserve"> </w:t>
      </w:r>
      <w:r>
        <w:rPr>
          <w:bCs/>
          <w:b/>
        </w:rPr>
        <w:t xml:space="preserve">New Zealand Auckland</w:t>
      </w:r>
      <w:r>
        <w:t xml:space="preserve"> is the complexity of funding. While government subsidies exist for children under six and seniors over sixty-five, there is a significant "coverage gap" for working-age adults. This economic reality forces many residents to delay eye exams until symptoms become severe, increasing the burden on hospital-based ophthalmology services.</w:t>
      </w:r>
    </w:p>
    <w:bookmarkEnd w:id="29"/>
    <w:bookmarkStart w:id="30" w:name="technological-integration"/>
    <w:p>
      <w:pPr>
        <w:pStyle w:val="Heading3"/>
      </w:pPr>
      <w:r>
        <w:t xml:space="preserve">5.2 Technological Integration</w:t>
      </w:r>
    </w:p>
    <w:p>
      <w:pPr>
        <w:pStyle w:val="FirstParagraph"/>
      </w:pPr>
      <w:r>
        <w:t xml:space="preserve">The adoption of digital health records (EHR) in Auckland is high. An</w:t>
      </w:r>
      <w:r>
        <w:t xml:space="preserve"> </w:t>
      </w:r>
      <w:r>
        <w:rPr>
          <w:bCs/>
          <w:b/>
        </w:rPr>
        <w:t xml:space="preserve">Optometrist </w:t>
      </w:r>
      <w:r>
        <w:t xml:space="preserve"> must navigate interoperability issues between private practice management software and public hospital systems (such as Auckland District Health Board networks). Seamless data transfer is essential for patients who require collaborative care between an</w:t>
      </w:r>
      <w:r>
        <w:t xml:space="preserve"> </w:t>
      </w:r>
      <w:r>
        <w:rPr>
          <w:bCs/>
          <w:b/>
        </w:rPr>
        <w:t xml:space="preserve">Optometrist</w:t>
      </w:r>
      <w:r>
        <w:t xml:space="preserve"> and a medical specialist.</w:t>
      </w:r>
    </w:p>
    <w:bookmarkEnd w:id="30"/>
    <w:bookmarkStart w:id="31" w:name="workforce-shortages"/>
    <w:p>
      <w:pPr>
        <w:pStyle w:val="Heading3"/>
      </w:pPr>
      <w:r>
        <w:t xml:space="preserve">5.3 Workforce Shortages</w:t>
      </w:r>
    </w:p>
    <w:p>
      <w:pPr>
        <w:pStyle w:val="FirstParagraph"/>
      </w:pPr>
      <w:r>
        <w:t xml:space="preserve">There is a documented shortage of optometry graduates in New Zealand, leading to increased workloads for existing</w:t>
      </w:r>
      <w:r>
        <w:t xml:space="preserve"> </w:t>
      </w:r>
      <w:r>
        <w:rPr>
          <w:bCs/>
          <w:b/>
        </w:rPr>
        <w:t xml:space="preserve">Optometrist </w:t>
      </w:r>
      <w:r>
        <w:t xml:space="preserve"> staff in Auckland. This impacts the quality of patient interaction and the time available for detailed education regarding eye health. The report notes that burnout rates are a concern within the professional community.</w:t>
      </w:r>
    </w:p>
    <w:bookmarkEnd w:id="31"/>
    <w:bookmarkEnd w:id="32"/>
    <w:bookmarkStart w:id="33" w:name="recommendations"/>
    <w:p>
      <w:pPr>
        <w:pStyle w:val="Heading2"/>
      </w:pPr>
      <w:r>
        <w:t xml:space="preserve">6.0 Recommendations</w:t>
      </w:r>
    </w:p>
    <w:p>
      <w:pPr>
        <w:numPr>
          <w:ilvl w:val="0"/>
          <w:numId w:val="1002"/>
        </w:numPr>
        <w:pStyle w:val="Compact"/>
      </w:pPr>
      <w:r>
        <w:rPr>
          <w:bCs/>
          <w:b/>
        </w:rPr>
        <w:t xml:space="preserve">Expansion of Subsidies:</w:t>
      </w:r>
      <w:r>
        <w:t xml:space="preserve"> The government should consider extending eye exam subsidies to children up to age 18, given the myopia crisis in</w:t>
      </w:r>
      <w:r>
        <w:t xml:space="preserve"> </w:t>
      </w:r>
      <w:r>
        <w:rPr>
          <w:bCs/>
          <w:b/>
        </w:rPr>
        <w:t xml:space="preserve">New Zealand Auckland</w:t>
      </w:r>
      <w:r>
        <w:t xml:space="preserve">.</w:t>
      </w:r>
    </w:p>
    <w:p>
      <w:pPr>
        <w:numPr>
          <w:ilvl w:val="0"/>
          <w:numId w:val="1002"/>
        </w:numPr>
        <w:pStyle w:val="Compact"/>
      </w:pPr>
      <w:r>
        <w:rPr>
          <w:bCs/>
          <w:b/>
        </w:rPr>
        <w:t xml:space="preserve">Cultural Competency Training:</w:t>
      </w:r>
      <w:r>
        <w:t xml:space="preserve"> All</w:t>
      </w:r>
      <w:r>
        <w:t xml:space="preserve"> </w:t>
      </w:r>
      <w:r>
        <w:rPr>
          <w:bCs/>
          <w:b/>
        </w:rPr>
        <w:t xml:space="preserve">Optometrist </w:t>
      </w:r>
      <w:r>
        <w:t xml:space="preserve"> practices should mandate training in Te Ao Māori (the Māori world view) to improve services for indigenous populations.</w:t>
      </w:r>
    </w:p>
    <w:p>
      <w:pPr>
        <w:numPr>
          <w:ilvl w:val="0"/>
          <w:numId w:val="1002"/>
        </w:numPr>
        <w:pStyle w:val="Compact"/>
      </w:pPr>
      <w:r>
        <w:rPr>
          <w:bCs/>
          <w:b/>
        </w:rPr>
        <w:t xml:space="preserve">Telerefration Adoption:</w:t>
      </w:r>
      <w:r>
        <w:t xml:space="preserve"> </w:t>
      </w:r>
      <w:r>
        <w:t xml:space="preserve">Investment in telehealth technologies</w:t>
      </w:r>
      <w:r>
        <w:t xml:space="preserve"> by an</w:t>
      </w:r>
      <w:r>
        <w:t xml:space="preserve"> </w:t>
      </w:r>
      <w:r>
        <w:rPr>
          <w:bCs/>
          <w:b/>
        </w:rPr>
        <w:t xml:space="preserve">Optometrist</w:t>
      </w:r>
      <w:r>
        <w:t xml:space="preserve"> can help bridge the gap between Auckland CBD clinics and outer suburban areas.</w:t>
      </w:r>
    </w:p>
    <w:p>
      <w:pPr>
        <w:numPr>
          <w:ilvl w:val="0"/>
          <w:numId w:val="1002"/>
        </w:numPr>
        <w:pStyle w:val="Compact"/>
      </w:pPr>
      <w:r>
        <w:rPr>
          <w:bCs/>
          <w:b/>
        </w:rPr>
        <w:t xml:space="preserve">Rural Outreach:</w:t>
      </w:r>
      <w:r>
        <w:t xml:space="preserve"> Mobile clinic initiatives should be funded to bring optometric care to underserved areas surrounding the main urban center of New Zealand Auckland.</w:t>
      </w:r>
    </w:p>
    <w:bookmarkEnd w:id="33"/>
    <w:bookmarkStart w:id="34" w:name="conclusion"/>
    <w:p>
      <w:pPr>
        <w:pStyle w:val="Heading2"/>
      </w:pPr>
      <w:r>
        <w:t xml:space="preserve">7.0 Conclusion</w:t>
      </w:r>
    </w:p>
    <w:p>
      <w:pPr>
        <w:pStyle w:val="FirstParagraph"/>
      </w:pPr>
      <w:r>
        <w:t xml:space="preserve">In conclusion, the practice of an</w:t>
      </w:r>
      <w:r>
        <w:t xml:space="preserve"> </w:t>
      </w:r>
      <w:r>
        <w:rPr>
          <w:bCs/>
          <w:b/>
        </w:rPr>
        <w:t xml:space="preserve">Optometrist </w:t>
      </w:r>
      <w:r>
        <w:t xml:space="preserve"> in</w:t>
      </w:r>
      <w:r>
        <w:t xml:space="preserve"> </w:t>
      </w:r>
      <w:r>
        <w:rPr>
          <w:bCs/>
          <w:b/>
        </w:rPr>
        <w:t xml:space="preserve">New Zealand Auckland</w:t>
      </w:r>
      <w:r>
        <w:t xml:space="preserve"> is a dynamic and critical component of the regional healthcare infrastructure. While technological advancements have improved diagnostic accuracy, socioeconomic barriers and workforce limitations remain significant hurdles. The data strongly suggests that by addressing equity issues and expanding preventive care models, the optometric profession can significantly improve visual health outcomes for all residents in this vibrant New Zealand city.</w:t>
      </w:r>
    </w:p>
    <w:p>
      <w:pPr>
        <w:pStyle w:val="BodyText"/>
      </w:pPr>
      <w:r>
        <w:t xml:space="preserve">This report affirms that the role of an</w:t>
      </w:r>
      <w:r>
        <w:t xml:space="preserve"> </w:t>
      </w:r>
      <w:r>
        <w:rPr>
          <w:bCs/>
          <w:b/>
        </w:rPr>
        <w:t xml:space="preserve">Optometrist </w:t>
      </w:r>
      <w:r>
        <w:t xml:space="preserve"> is not static but is rapidly adapting to meet the complex needs of a diverse, urbanizing population in New Zealand Auckland.</w:t>
      </w:r>
    </w:p>
    <w:p>
      <w:pPr>
        <w:pStyle w:val="BodyText"/>
      </w:pPr>
      <w:r>
        <w:rPr>
          <w:iCs/>
          <w:i/>
        </w:rPr>
        <w:t xml:space="preserve">End of Report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Comprehensive Optometric Services in New Zealand Auckland</dc:title>
  <dc:creator/>
  <dc:language>en</dc:language>
  <cp:keywords/>
  <dcterms:created xsi:type="dcterms:W3CDTF">2026-07-29T19:00:10Z</dcterms:created>
  <dcterms:modified xsi:type="dcterms:W3CDTF">2026-07-29T19:00:10Z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