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Optometric</w:t>
      </w:r>
      <w:r>
        <w:t xml:space="preserve"> </w:t>
      </w:r>
      <w:r>
        <w:t xml:space="preserve">Assessment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8" w:name="X23666819bf50c671ae1b9ecc2fd1d0b42c76554"/>
    <w:p>
      <w:pPr>
        <w:pStyle w:val="Heading1"/>
      </w:pPr>
      <w:r>
        <w:t xml:space="preserve">Clinical Lab Report: Comprehensive Optometric Evaluation</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MAD-890-XJ</w:t>
      </w:r>
      <w:r>
        <w:br/>
      </w:r>
    </w:p>
    <w:p>
      <w:pPr>
        <w:pStyle w:val="BodyText"/>
      </w:pPr>
      <w:r>
        <w:t xml:space="preserve">Location of Service:Spain Madrid</w:t>
      </w:r>
      <w:r>
        <w:br/>
      </w:r>
    </w:p>
    <w:p>
      <w:pPr>
        <w:pStyle w:val="BodyText"/>
      </w:pPr>
      <w:r>
        <w:t xml:space="preserve">Evaluating Specialist:Dr. Elena Rodriguez, O.D., FACOphth.</w:t>
      </w:r>
      <w:r>
        <w:br/>
      </w:r>
    </w:p>
    <w:p>
      <w:pPr>
        <w:pStyle w:val="BodyText"/>
      </w:pPr>
      <w:r>
        <w:t xml:space="preserve">District:Chamartín, Central Madrid</w:t>
      </w:r>
    </w:p>
    <w:bookmarkStart w:id="20" w:name="introduction-and-objectives"/>
    <w:p>
      <w:pPr>
        <w:pStyle w:val="Heading2"/>
      </w:pPr>
      <w:r>
        <w:t xml:space="preserve">1. Introduction and Objectives</w:t>
      </w:r>
    </w:p>
    <w:p>
      <w:pPr>
        <w:pStyle w:val="FirstParagraph"/>
      </w:pPr>
      <w:r>
        <w:t xml:space="preserve">This document serves as a formal Lab Report detailing the outcomes of a comprehensive optometric assessment conducted within the bustling metropolitan hub of Spain Madrid. The primary objective of this report is to document visual acuity, ocular health status, and refractive errors for Patient ID MAD-890-XJ. Given that Spain Madrid represents one of Europe’s most densely populated urban centers, where high levels of digital screen exposure and rapid lifestyle changes are prevalent, optometric evaluations in this specific region must account for unique environmental stressors on visual health.</w:t>
      </w:r>
    </w:p>
    <w:p>
      <w:pPr>
        <w:pStyle w:val="BodyText"/>
      </w:pPr>
      <w:r>
        <w:t xml:space="preserve">The term "Optometrist" refers herein to a licensed healthcare professional specializing in primary vision care. In the context of Spain Madrid, these professionals operate under strict regulations set by both national Spanish health laws and local community directives. This report aims to bridge the gap between clinical data and practical application for patients residing in or visiting this vibrant Spanish capital.</w:t>
      </w:r>
    </w:p>
    <w:bookmarkEnd w:id="20"/>
    <w:bookmarkStart w:id="21" w:name="methodology"/>
    <w:p>
      <w:pPr>
        <w:pStyle w:val="Heading2"/>
      </w:pPr>
      <w:r>
        <w:t xml:space="preserve">2. Methodology</w:t>
      </w:r>
    </w:p>
    <w:p>
      <w:pPr>
        <w:pStyle w:val="FirstParagraph"/>
      </w:pPr>
      <w:r>
        <w:t xml:space="preserve">The assessment followed standard protocols utilized by leading Optometrist facilities across Spain Madrid. The following diagnostic tools were employed:</w:t>
      </w:r>
    </w:p>
    <w:p>
      <w:pPr>
        <w:numPr>
          <w:ilvl w:val="0"/>
          <w:numId w:val="1001"/>
        </w:numPr>
        <w:pStyle w:val="Compact"/>
      </w:pPr>
      <w:r>
        <w:rPr>
          <w:bCs/>
          <w:b/>
        </w:rPr>
        <w:t xml:space="preserve">Vision Screener (Digital Acuity Chart):</w:t>
      </w:r>
      <w:r>
        <w:t xml:space="preserve"> </w:t>
      </w:r>
      <w:r>
        <w:t xml:space="preserve">To determine uncorrected and corrected visual acuity at distance and near ranges.</w:t>
      </w:r>
    </w:p>
    <w:p>
      <w:pPr>
        <w:numPr>
          <w:ilvl w:val="0"/>
          <w:numId w:val="1001"/>
        </w:numPr>
        <w:pStyle w:val="Compact"/>
      </w:pPr>
      <w:r>
        <w:rPr>
          <w:bCs/>
          <w:b/>
        </w:rPr>
        <w:t xml:space="preserve">Auto-Refractometer:</w:t>
      </w:r>
      <w:r>
        <w:t xml:space="preserve"> </w:t>
      </w:r>
      <w:r>
        <w:t xml:space="preserve">For initial objective measurement of refractive error, essential for tailoring prescriptions common in the urban Spanish demographic.</w:t>
      </w:r>
    </w:p>
    <w:p>
      <w:pPr>
        <w:numPr>
          <w:ilvl w:val="0"/>
          <w:numId w:val="1001"/>
        </w:numPr>
        <w:pStyle w:val="Compact"/>
      </w:pPr>
      <w:r>
        <w:t xml:space="preserve">Tonometry (Non-Contact):To screen for intraocular pressure and detect potential glaucoma risks, a condition increasingly monitored in aging populations across Spain Madrid.</w:t>
      </w:r>
    </w:p>
    <w:p>
      <w:pPr>
        <w:numPr>
          <w:ilvl w:val="0"/>
          <w:numId w:val="1001"/>
        </w:numPr>
        <w:pStyle w:val="Compact"/>
      </w:pPr>
      <w:r>
        <w:t xml:space="preserve">Slit-Lamp Biomicroscopy:For detailed examination of anterior segment structures, including the cornea and lens.</w:t>
      </w:r>
    </w:p>
    <w:p>
      <w:pPr>
        <w:numPr>
          <w:ilvl w:val="0"/>
          <w:numId w:val="1001"/>
        </w:numPr>
        <w:pStyle w:val="Compact"/>
      </w:pPr>
      <w:r>
        <w:t xml:space="preserve">Dilated Fundus Examination:To assess retinal health and optic nerve integrity, ensuring no underlying systemic diseases manifest visually.</w:t>
      </w:r>
    </w:p>
    <w:p>
      <w:pPr>
        <w:pStyle w:val="FirstParagraph"/>
      </w:pPr>
      <w:r>
        <w:t xml:space="preserve">All procedures were conducted in a sterile environment compliant with European Union health standards, reflecting the high-quality medical infrastructure available to patients in Spain Madrid.</w:t>
      </w:r>
    </w:p>
    <w:bookmarkEnd w:id="21"/>
    <w:bookmarkStart w:id="22" w:name="clinical-findings"/>
    <w:p>
      <w:pPr>
        <w:pStyle w:val="Heading2"/>
      </w:pPr>
      <w:r>
        <w:t xml:space="preserve">3. Clinical Findings</w:t>
      </w:r>
    </w:p>
    <w:p>
      <w:pPr>
        <w:pStyle w:val="FirstParagraph"/>
      </w:pPr>
      <w:r>
        <w:t xml:space="preserve">Metric</w:t>
      </w:r>
    </w:p>
    <w:bookmarkEnd w:id="22"/>
    <w:p>
      <w:pPr>
        <w:pStyle w:val="BodyText"/>
      </w:pPr>
      <w:r>
        <w:t xml:space="preserve">Left Eye (OS)</w:t>
      </w:r>
    </w:p>
    <w:p>
      <w:pPr>
        <w:pStyle w:val="BodyText"/>
      </w:pPr>
      <w:r>
        <w:t xml:space="preserve">Right Eye (OD)</w:t>
      </w:r>
    </w:p>
    <w:p>
      <w:pPr>
        <w:pStyle w:val="BodyText"/>
      </w:pPr>
      <w:r>
        <w:t xml:space="preserve">Uncorrected Visual Acuity</w:t>
      </w:r>
    </w:p>
    <w:p>
      <w:pPr>
        <w:pStyle w:val="BodyText"/>
      </w:pPr>
      <w:r>
        <w:t xml:space="preserve">+0.12 LogMAR</w:t>
      </w:r>
    </w:p>
    <w:p>
      <w:pPr>
        <w:pStyle w:val="BodyText"/>
      </w:pPr>
      <w:r>
        <w:t xml:space="preserve">+0.15 LogMAR</w:t>
      </w:r>
    </w:p>
    <w:p>
      <w:pPr>
        <w:pStyle w:val="BodyText"/>
      </w:pPr>
      <w:r>
        <w:t xml:space="preserve">&lt; tr style="background-color:#f9f9f 9;"&gt;</w:t>
      </w:r>
      <w:r>
        <w:t xml:space="preserve"> </w:t>
      </w:r>
      <w:r>
        <w:t xml:space="preserve">&lt; td&gt;Corrected Visual Acuity (Best Corrected)</w:t>
      </w:r>
      <w:r>
        <w:t xml:space="preserve"> </w:t>
      </w:r>
      <w:r>
        <w:t xml:space="preserve">&lt; td&gt;20/20 (1.0)</w:t>
      </w:r>
    </w:p>
    <w:p>
      <w:pPr>
        <w:pStyle w:val="BodyText"/>
      </w:pPr>
      <w:r>
        <w:t xml:space="preserve">20/25 (1.6 LogMAR converted to Snellen equivalent)</w:t>
      </w:r>
    </w:p>
    <w:p>
      <w:pPr>
        <w:pStyle w:val="BodyText"/>
      </w:pPr>
      <w:r>
        <w:t xml:space="preserve">&lt; tr style="background-color:#f9f9f 9;"&gt;</w:t>
      </w:r>
      <w:r>
        <w:t xml:space="preserve"> </w:t>
      </w:r>
      <w:r>
        <w:t xml:space="preserve">&lt; td&gt;Spherical Equivalent</w:t>
      </w:r>
      <w:r>
        <w:t xml:space="preserve"> </w:t>
      </w:r>
      <w:r>
        <w:t xml:space="preserve">&lt; td&gt;-1.25 D</w:t>
      </w:r>
    </w:p>
    <w:p>
      <w:pPr>
        <w:pStyle w:val="BodyText"/>
      </w:pPr>
      <w:r>
        <w:t xml:space="preserve">-0.75 D</w:t>
      </w:r>
    </w:p>
    <w:p>
      <w:pPr>
        <w:pStyle w:val="BodyText"/>
      </w:pPr>
      <w:r>
        <w:t xml:space="preserve">&lt; tr style="background-color:#f9f9f 9;"&gt;</w:t>
      </w:r>
      <w:r>
        <w:t xml:space="preserve"> </w:t>
      </w:r>
      <w:r>
        <w:t xml:space="preserve">&lt; cyl&gt; Cylindrical Power / Astigmatism</w:t>
      </w:r>
      <w:r>
        <w:t xml:space="preserve"> </w:t>
      </w:r>
      <w:r>
        <w:t xml:space="preserve">&lt; td&gt;-0.50 D @ 180°</w:t>
      </w:r>
    </w:p>
    <w:p>
      <w:pPr>
        <w:pStyle w:val="BodyText"/>
      </w:pPr>
      <w:r>
        <w:t xml:space="preserve">-0.25 D @ 175°</w:t>
      </w:r>
    </w:p>
    <w:p>
      <w:pPr>
        <w:pStyle w:val="BodyText"/>
      </w:pPr>
      <w:r>
        <w:t xml:space="preserve">&lt; tr style="background-color:#f9f9f 9;"&gt;</w:t>
      </w:r>
      <w:r>
        <w:t xml:space="preserve"> </w:t>
      </w:r>
      <w:r>
        <w:t xml:space="preserve">&lt; td&gt;Intraocular Pressure (IOP)</w:t>
      </w:r>
      <w:r>
        <w:t xml:space="preserve"> </w:t>
      </w:r>
      <w:r>
        <w:t xml:space="preserve">&lt; td&gt;14 mmHg</w:t>
      </w:r>
    </w:p>
    <w:p>
      <w:pPr>
        <w:pStyle w:val="BodyText"/>
      </w:pPr>
      <w:r>
        <w:t xml:space="preserve">15 mmHg</w:t>
      </w:r>
    </w:p>
    <w:p>
      <w:pPr>
        <w:pStyle w:val="BodyText"/>
      </w:pPr>
      <w:r>
        <w:t xml:space="preserve">&lt; tr style="background-color:#f9f9f 9;"&gt;</w:t>
      </w:r>
      <w:r>
        <w:t xml:space="preserve"> </w:t>
      </w:r>
      <w:r>
        <w:t xml:space="preserve">&lt; td&gt;Corneal Health</w:t>
      </w:r>
      <w:r>
        <w:t xml:space="preserve"> </w:t>
      </w:r>
      <w:r>
        <w:t xml:space="preserve">&lt; colspan ="2" style="text-align:center;"&gt;Healthy epithelium, no signs of dry eye syndrome despite urban dust exposure typical of Spain Madrid.</w:t>
      </w:r>
    </w:p>
    <w:p>
      <w:pPr>
        <w:pStyle w:val="BodyText"/>
      </w:pPr>
      <w:r>
        <w:t xml:space="preserve">&lt; tr style="background-color:#f9f9f 9;"&gt;</w:t>
      </w:r>
      <w:r>
        <w:t xml:space="preserve"> </w:t>
      </w:r>
      <w:r>
        <w:t xml:space="preserve">&lt; td&gt;Retinal Status</w:t>
      </w:r>
      <w:r>
        <w:t xml:space="preserve"> </w:t>
      </w:r>
      <w:r>
        <w:t xml:space="preserve">&lt; colspan ="2" style="text-align:center;"&gt;Normal vascularization, no hemorrhages or exudates detected.</w:t>
      </w:r>
    </w:p>
    <w:bookmarkStart w:id="23" w:name="detailed-analysis"/>
    <w:p>
      <w:pPr>
        <w:pStyle w:val="Heading3"/>
      </w:pPr>
      <w:r>
        <w:t xml:space="preserve">Detailed Analysis</w:t>
      </w:r>
    </w:p>
    <w:p>
      <w:pPr>
        <w:pStyle w:val="FirstParagraph"/>
      </w:pPr>
      <w:r>
        <w:t xml:space="preserve">The patient presents with mild myopia (nearsightedness), particularly in the left eye. This is a common finding among young adults in Spain Madrid, likely influenced by extensive reading habits and prolonged engagement with digital devices during university or work hours.</w:t>
      </w:r>
    </w:p>
    <w:p>
      <w:pPr>
        <w:pStyle w:val="BodyText"/>
      </w:pPr>
      <w:r>
        <w:t xml:space="preserve">Intraocular pressure readings are within normal limits, ruling out immediate glaucomatous risk factors. However, regular monitoring is recommended due to family history noted in the preliminary questionnaire.</w:t>
      </w:r>
    </w:p>
    <w:bookmarkEnd w:id="23"/>
    <w:bookmarkStart w:id="24" w:name="X6566d8a6cda248bcccc9b3198d19e8dab35487a"/>
    <w:p>
      <w:pPr>
        <w:pStyle w:val="Heading2"/>
      </w:pPr>
      <w:r>
        <w:t xml:space="preserve">4. Discussion: The Role of the Optometrist in Spain Madrid</w:t>
      </w:r>
    </w:p>
    <w:p>
      <w:pPr>
        <w:pStyle w:val="FirstParagraph"/>
      </w:pPr>
      <w:r>
        <w:t xml:space="preserve">This Lab Report underscores the critical role that an Optometrist plays not only in prescribing corrective lenses but also in maintaining overall ocular health within diverse urban environments like Spain Madrid.</w:t>
      </w:r>
    </w:p>
    <w:p>
      <w:pPr>
        <w:pStyle w:val="BodyText"/>
      </w:pPr>
      <w:r>
        <w:rPr>
          <w:bCs/>
          <w:b/>
        </w:rPr>
        <w:t xml:space="preserve">Environmental Factors:</w:t>
      </w:r>
      <w:r>
        <w:t xml:space="preserve">Cities such as Spain Madrid experience seasonal variations, including dry summers and humid winters. These climatic shifts can exacerbate conditions like dry eye syndrome or allergic conjunctivitis. The optometric evaluation must therefore include specific questioning about environmental exposures.</w:t>
      </w:r>
    </w:p>
    <w:p>
      <w:pPr>
        <w:pStyle w:val="BodyText"/>
      </w:pPr>
      <w:r>
        <w:rPr>
          <w:bCs/>
          <w:b/>
        </w:rPr>
        <w:t xml:space="preserve">Digital Strain:</w:t>
      </w:r>
    </w:p>
    <w:p>
      <w:pPr>
        <w:pStyle w:val="BodyText"/>
      </w:pPr>
      <w:r>
        <w:t xml:space="preserve">In modern Spain Madrid, the average citizen spends over 8 hours daily on screens. This "Digital Eye Strain" or Computer Vision Syndrome is a primary reason patients seek optometric care. The findings in this report suggest that while vision correction is necessary, ergonomic advice and blue-light filtering lenses may provide significant symptomatic relief.</w:t>
      </w:r>
    </w:p>
    <w:p>
      <w:pPr>
        <w:pStyle w:val="BodyText"/>
      </w:pPr>
      <w:r>
        <w:rPr>
          <w:bCs/>
          <w:b/>
        </w:rPr>
        <w:t xml:space="preserve">Accessibility and Standards:</w:t>
      </w:r>
    </w:p>
    <w:p>
      <w:pPr>
        <w:pStyle w:val="BodyText"/>
      </w:pPr>
      <w:r>
        <w:t xml:space="preserve">The healthcare system in Spain Madrid ensures that Optometrist services are both accessible and regulated. This Lab Report adheres to these rigorous standards, ensuring that all diagnostic claims are backed by measurable data. The integration of technology into optometric practice in Spain Madrid reflects global trends but is tailored to local patient demographics.</w:t>
      </w:r>
    </w:p>
    <w:bookmarkEnd w:id="24"/>
    <w:bookmarkStart w:id="27" w:name="recommendations"/>
    <w:p>
      <w:pPr>
        <w:pStyle w:val="Heading2"/>
      </w:pPr>
      <w:r>
        <w:t xml:space="preserve">5. Recommendations</w:t>
      </w:r>
    </w:p>
    <w:p>
      <w:pPr>
        <w:numPr>
          <w:ilvl w:val="0"/>
          <w:numId w:val="1002"/>
        </w:numPr>
        <w:pStyle w:val="Compact"/>
      </w:pPr>
      <w:r>
        <w:t xml:space="preserve">Lens Prescription:Prescribe single-vision distance glasses with anti-reflective coating for the left eye to address myopia.</w:t>
      </w:r>
    </w:p>
    <w:p>
      <w:pPr>
        <w:numPr>
          <w:ilvl w:val="0"/>
          <w:numId w:val="1002"/>
        </w:numPr>
        <w:pStyle w:val="Compact"/>
      </w:pPr>
      <w:r>
        <w:t xml:space="preserve">Digital Hygiene Education:Advise the patient to follow the 20-20-20 rule: every 20 minutes, look at something 20 feet away for 20 seconds. This is particularly relevant for residents of Spain Madrid who commute via public transport involving screen usage.</w:t>
      </w:r>
    </w:p>
    <w:p>
      <w:pPr>
        <w:numPr>
          <w:ilvl w:val="0"/>
          <w:numId w:val="1002"/>
        </w:numPr>
        <w:pStyle w:val="Compact"/>
      </w:pPr>
      <w:r>
        <w:t xml:space="preserve">Follow-Up:Schedule a follow-up appointment in six months to monitor any progression of myopia or changes in astigmatism.</w:t>
      </w:r>
    </w:p>
    <w:p>
      <w:pPr>
        <w:numPr>
          <w:ilvl w:val="0"/>
          <w:numId w:val="1002"/>
        </w:numPr>
        <w:pStyle w:val="Compact"/>
      </w:pPr>
      <w:r>
        <w:t xml:space="preserve">Lifestyle Modifications:Encourage outdoor activity. Spain Madrid offers numerous parks and green spaces ideal for eye relaxation through distance viewing.</w:t>
      </w:r>
    </w:p>
    <w:bookmarkStart w:id="25" w:name="conclusion"/>
    <w:p>
      <w:pPr>
        <w:pStyle w:val="Heading3"/>
      </w:pPr>
      <w:r>
        <w:t xml:space="preserve">Conclusion</w:t>
      </w:r>
    </w:p>
    <w:p>
      <w:pPr>
        <w:pStyle w:val="FirstParagraph"/>
      </w:pPr>
      <w:r>
        <w:t xml:space="preserve">This Lab Report provides a thorough analysis of the optometric status of Patient ID MAD-890-XJ. It highlights the importance of regular check-ups with a qualified Optometrist, especially in dynamic urban settings like Spain Madrid where environmental and lifestyle factors significantly impact visual health. By combining precise diagnostic metrics with contextual understanding of local habits, we ensure holistic care that goes beyond mere lens prescriptions.</w:t>
      </w:r>
    </w:p>
    <w:p>
      <w:pPr>
        <w:pStyle w:val="BodyText"/>
      </w:pPr>
      <w:r>
        <w:t xml:space="preserve">The data collected herein confirms that while the patient requires minor vision correction, their ocular health is otherwise robust. Continued vigilance and adherence to recommended hygiene practices will safeguard their long-term visual well-being within the vibrant landscape of Spain Madrid.</w:t>
      </w:r>
    </w:p>
    <w:bookmarkEnd w:id="25"/>
    <w:bookmarkStart w:id="26" w:name="final-remarks-for-administrative-use"/>
    <w:p>
      <w:pPr>
        <w:pStyle w:val="Heading3"/>
      </w:pPr>
      <w:r>
        <w:t xml:space="preserve">Final Remarks for Administrative Use</w:t>
      </w:r>
    </w:p>
    <w:p>
      <w:pPr>
        <w:pStyle w:val="FirstParagraph"/>
      </w:pPr>
      <w:r>
        <w:t xml:space="preserve">This document is intended for internal clinical records and patient reference. Any further inquiries regarding insurance coverage or specialist referrals in Spain Madrid should be directed to the clinic administrator.</w:t>
      </w:r>
    </w:p>
    <w:p>
      <w:pPr>
        <w:pStyle w:val="BodyText"/>
      </w:pPr>
      <w:r>
        <w:t xml:space="preserve">Signed:</w:t>
      </w:r>
      <w:r>
        <w:br/>
      </w:r>
      <w:r>
        <w:t xml:space="preserve">Dr. Elena Rodriguez</w:t>
      </w:r>
      <w:r>
        <w:br/>
      </w:r>
      <w:r>
        <w:t xml:space="preserve">Licensed Optometrist</w:t>
      </w:r>
      <w:r>
        <w:br/>
      </w:r>
      <w:r>
        <w:t xml:space="preserve">Spain Madrid Medical Center</w:t>
      </w:r>
    </w:p>
    <w:bookmarkEnd w:id="26"/>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Optometric Assessment in Spain Madrid</dc:title>
  <dc:creator/>
  <dc:language>en</dc:language>
  <cp:keywords/>
  <dcterms:created xsi:type="dcterms:W3CDTF">2026-07-29T03:30:55Z</dcterms:created>
  <dcterms:modified xsi:type="dcterms:W3CDTF">2026-07-29T03:30:55Z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