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Optometrist</w:t>
      </w:r>
      <w:r>
        <w:t xml:space="preserve"> </w:t>
      </w:r>
      <w:r>
        <w:t xml:space="preserve">Lab</w:t>
      </w:r>
      <w:r>
        <w:t xml:space="preserve"> </w:t>
      </w:r>
      <w:r>
        <w:t xml:space="preserve">Report:</w:t>
      </w:r>
      <w:r>
        <w:t xml:space="preserve"> </w:t>
      </w:r>
      <w:r>
        <w:t xml:space="preserve">Valencia,</w:t>
      </w:r>
      <w:r>
        <w:t xml:space="preserve"> </w:t>
      </w:r>
      <w:r>
        <w:t xml:space="preserve">Spain</w:t>
      </w:r>
    </w:p>
    <w:bookmarkStart w:id="31" w:name="X34247804e0dcb317b84b3c4ef6f15ee770c1a31"/>
    <w:p>
      <w:pPr>
        <w:pStyle w:val="Heading1"/>
      </w:pPr>
      <w:r>
        <w:t xml:space="preserve">Clinical Laboratory Report and Standard of Care Analysis</w:t>
      </w:r>
    </w:p>
    <w:p>
      <w:pPr>
        <w:pStyle w:val="FirstParagraph"/>
      </w:pPr>
      <w:r>
        <w:rPr>
          <w:bCs/>
          <w:b/>
        </w:rPr>
        <w:t xml:space="preserve">Date:</w:t>
      </w:r>
      <w:r>
        <w:t xml:space="preserve"> </w:t>
      </w:r>
      <w:r>
        <w:t xml:space="preserve">October 26, 2023</w:t>
      </w:r>
    </w:p>
    <w:p>
      <w:pPr>
        <w:pStyle w:val="BodyText"/>
      </w:pPr>
      <w:r>
        <w:rPr>
          <w:bCs/>
          <w:b/>
        </w:rPr>
        <w:t xml:space="preserve">Jurisdiction:</w:t>
      </w:r>
      <w:r>
        <w:t xml:space="preserve"> </w:t>
      </w:r>
      <w:r>
        <w:t xml:space="preserve">Spain Valencia (Autonomous Community of the Valencian Community)</w:t>
      </w:r>
    </w:p>
    <w:p>
      <w:pPr>
        <w:pStyle w:val="BodyText"/>
      </w:pPr>
      <w:r>
        <w:rPr>
          <w:bCs/>
          <w:b/>
        </w:rPr>
        <w:t xml:space="preserve">Focusing Discipline:</w:t>
      </w:r>
      <w:r>
        <w:t xml:space="preserve"> </w:t>
      </w:r>
      <w:r>
        <w:t xml:space="preserve">Optometry and Ocular Health Diagnostics</w:t>
      </w:r>
    </w:p>
    <w:p>
      <w:pPr>
        <w:pStyle w:val="BodyText"/>
      </w:pPr>
      <w:r>
        <w:rPr>
          <w:bCs/>
          <w:b/>
        </w:rPr>
        <w:t xml:space="preserve">Status:</w:t>
      </w:r>
      <w:r>
        <w:t xml:space="preserve"> </w:t>
      </w:r>
      <w:r>
        <w:t xml:space="preserve">Official Clinical Documentation Template</w:t>
      </w:r>
    </w:p>
    <w:bookmarkStart w:id="20" w:name="executive-summary"/>
    <w:p>
      <w:pPr>
        <w:pStyle w:val="Heading2"/>
      </w:pPr>
      <w:r>
        <w:t xml:space="preserve">1. Executive Summary</w:t>
      </w:r>
    </w:p>
    <w:p>
      <w:pPr>
        <w:pStyle w:val="FirstParagraph"/>
      </w:pPr>
      <w:r>
        <w:t xml:space="preserve">This document serves as a comprehensive laboratory report framework specifically tailored for the practice of an Optometrist within the geographical and regulatory context of Spain Valencia. The primary objective of this report is to outline the clinical standards, diagnostic protocols, and procedural guidelines that must be observed by optical professionals operating in this region. As healthcare systems across Europe increasingly integrate specialized non-medical eye care into broader public health frameworks, understanding the local nuances of</w:t>
      </w:r>
      <w:r>
        <w:t xml:space="preserve"> </w:t>
      </w:r>
      <w:r>
        <w:t xml:space="preserve">Spain Valencia</w:t>
      </w:r>
      <w:r>
        <w:t xml:space="preserve"> </w:t>
      </w:r>
      <w:r>
        <w:t xml:space="preserve">is critical for accurate data interpretation and patient management. This report bridges the gap between theoretical optometric science and practical application within the specific healthcare infrastructure of Eastern Spain.</w:t>
      </w:r>
    </w:p>
    <w:bookmarkEnd w:id="20"/>
    <w:bookmarkStart w:id="21" w:name="introduction"/>
    <w:p>
      <w:pPr>
        <w:pStyle w:val="Heading2"/>
      </w:pPr>
      <w:r>
        <w:t xml:space="preserve">2. Introduction: The Role of the Optometrist in Modern Healthcare</w:t>
      </w:r>
    </w:p>
    <w:p>
      <w:pPr>
        <w:pStyle w:val="FirstParagraph"/>
      </w:pPr>
      <w:r>
        <w:t xml:space="preserve">The role of an</w:t>
      </w:r>
      <w:r>
        <w:t xml:space="preserve"> </w:t>
      </w:r>
      <w:r>
        <w:t xml:space="preserve">Optometrist</w:t>
      </w:r>
      <w:r>
        <w:t xml:space="preserve"> </w:t>
      </w:r>
      <w:r>
        <w:t xml:space="preserve">has evolved significantly over the last two decades, transitioning from a purely refractive service provider to a primary care eye health professional responsible for diagnosing and managing ocular diseases. In the context of this lab report, we examine how these duties are structured within the Valencian healthcare system. Unlike in some other jurisdictions where optometrists may work strictly in private retail settings, the integration with public health resources in</w:t>
      </w:r>
      <w:r>
        <w:t xml:space="preserve"> </w:t>
      </w:r>
      <w:r>
        <w:t xml:space="preserve">Spain Valencia</w:t>
      </w:r>
      <w:r>
        <w:t xml:space="preserve"> </w:t>
      </w:r>
      <w:r>
        <w:t xml:space="preserve">allows for a more holistic approach to patient care. This section details the necessary competencies required to maintain high standards of clinical excellence while adhering to local regulations.</w:t>
      </w:r>
    </w:p>
    <w:bookmarkEnd w:id="21"/>
    <w:bookmarkStart w:id="22" w:name="regulatory-framework"/>
    <w:p>
      <w:pPr>
        <w:pStyle w:val="Heading2"/>
      </w:pPr>
      <w:r>
        <w:t xml:space="preserve">3. Regulatory Framework and Local Compliance</w:t>
      </w:r>
    </w:p>
    <w:p>
      <w:pPr>
        <w:pStyle w:val="FirstParagraph"/>
      </w:pPr>
      <w:r>
        <w:t xml:space="preserve">To function effectively as an Optometrist in this region, one must adhere not only to national Spanish laws but also to the specific decrees issued by the Generalitat Valenciana. The laboratory protocols outlined herein are designed to ensure compliance with:</w:t>
      </w:r>
    </w:p>
    <w:p>
      <w:pPr>
        <w:numPr>
          <w:ilvl w:val="0"/>
          <w:numId w:val="1001"/>
        </w:numPr>
        <w:pStyle w:val="Compact"/>
      </w:pPr>
      <w:r>
        <w:t xml:space="preserve">The Royal Decree regulating the professional practice of Optometry and Orthoptics.</w:t>
      </w:r>
    </w:p>
    <w:p>
      <w:pPr>
        <w:numPr>
          <w:ilvl w:val="0"/>
          <w:numId w:val="1001"/>
        </w:numPr>
        <w:pStyle w:val="Compact"/>
      </w:pPr>
      <w:r>
        <w:t xml:space="preserve">Data protection regulations (RGPD) which are strictly enforced in Spanish clinical settings.</w:t>
      </w:r>
    </w:p>
    <w:p>
      <w:pPr>
        <w:numPr>
          <w:ilvl w:val="0"/>
          <w:numId w:val="1001"/>
        </w:numPr>
        <w:pStyle w:val="Compact"/>
      </w:pPr>
      <w:r>
        <w:t xml:space="preserve">Infection control standards specific to healthcare facilities in the Valencian Community.</w:t>
      </w:r>
    </w:p>
    <w:p>
      <w:pPr>
        <w:pStyle w:val="FirstParagraph"/>
      </w:pPr>
      <w:r>
        <w:t xml:space="preserve">The interaction between private optical labs and public health centers (Centros de Salud) in Valencia requires meticulous documentation. Any discrepancy in the lab report can lead to legal complications or denial of reimbursement if cross-referenced with public health records. Therefore, this document emphasizes precision, clarity, and adherence to the standardized coding systems used by Spanish medical institutions.</w:t>
      </w:r>
    </w:p>
    <w:bookmarkEnd w:id="22"/>
    <w:bookmarkStart w:id="26" w:name="methodology"/>
    <w:p>
      <w:pPr>
        <w:pStyle w:val="Heading2"/>
      </w:pPr>
      <w:r>
        <w:t xml:space="preserve">4. Methodology: Diagnostic Protocols</w:t>
      </w:r>
    </w:p>
    <w:p>
      <w:pPr>
        <w:pStyle w:val="FirstParagraph"/>
      </w:pPr>
      <w:r>
        <w:t xml:space="preserve">The core of this lab report focuses on the methodologies employed during a comprehensive optometric examination. The following procedures are considered standard for an Optometrist practicing in Spain Valencia:</w:t>
      </w:r>
    </w:p>
    <w:bookmarkStart w:id="23" w:name="visual-acuity-and-refraction"/>
    <w:p>
      <w:pPr>
        <w:pStyle w:val="Heading3"/>
      </w:pPr>
      <w:r>
        <w:t xml:space="preserve">4.1 Visual Acuity and Refraction</w:t>
      </w:r>
    </w:p>
    <w:p>
      <w:pPr>
        <w:pStyle w:val="FirstParagraph"/>
      </w:pPr>
      <w:r>
        <w:t xml:space="preserve">Data collection begins with the measurement of uncorrected and corrected visual acuity using ETDRS charts, which are preferred for their precision in clinical trials and routine exams. Subjective refraction must be conducted with attention to patient comfort, acknowledging that population demographics in</w:t>
      </w:r>
      <w:r>
        <w:t xml:space="preserve"> </w:t>
      </w:r>
      <w:r>
        <w:t xml:space="preserve">Spain Valencia</w:t>
      </w:r>
      <w:r>
        <w:t xml:space="preserve"> </w:t>
      </w:r>
      <w:r>
        <w:t xml:space="preserve">may present specific prevalence rates of myopia associated with high educational attainment and screen time usage.</w:t>
      </w:r>
    </w:p>
    <w:bookmarkEnd w:id="23"/>
    <w:bookmarkStart w:id="24" w:name="intraocular-pressure-iop-measurement"/>
    <w:p>
      <w:pPr>
        <w:pStyle w:val="Heading3"/>
      </w:pPr>
      <w:r>
        <w:t xml:space="preserve">4.2 Intraocular Pressure (IOP) Measurement</w:t>
      </w:r>
    </w:p>
    <w:p>
      <w:pPr>
        <w:pStyle w:val="FirstParagraph"/>
      </w:pPr>
      <w:r>
        <w:t xml:space="preserve">Tonometry is a critical component of the glaucoma screening protocol. While Goldmann applanation tonometry remains the gold standard, non-contact tonometers are frequently utilized in high-volume clinics across Valencia due to efficiency and reduced risk of cross-infection. The lab report must clearly state the method used, as reference ranges may vary slightly between technologies.</w:t>
      </w:r>
    </w:p>
    <w:bookmarkEnd w:id="24"/>
    <w:bookmarkStart w:id="25" w:name="biomicroscopy-and-fundus-examination"/>
    <w:p>
      <w:pPr>
        <w:pStyle w:val="Heading3"/>
      </w:pPr>
      <w:r>
        <w:t xml:space="preserve">4.3 Biomicroscopy and Fundus Examination</w:t>
      </w:r>
    </w:p>
    <w:p>
      <w:pPr>
        <w:pStyle w:val="FirstParagraph"/>
      </w:pPr>
      <w:r>
        <w:t xml:space="preserve">Detailed examination of the anterior segment and retina is essential for diagnosing diabetic retinopathy, a condition with significant prevalence in aging populations. In the context of this report, images and descriptions must be annotated using standard medical terminology recognized by both optometric ophthalmologists and primary care physicians in</w:t>
      </w:r>
      <w:r>
        <w:t xml:space="preserve"> </w:t>
      </w:r>
      <w:r>
        <w:t xml:space="preserve">Spain Valencia</w:t>
      </w:r>
      <w:r>
        <w:t xml:space="preserve">.</w:t>
      </w:r>
    </w:p>
    <w:bookmarkEnd w:id="25"/>
    <w:bookmarkEnd w:id="26"/>
    <w:bookmarkStart w:id="27" w:name="data-analysis"/>
    <w:p>
      <w:pPr>
        <w:pStyle w:val="Heading2"/>
      </w:pPr>
      <w:r>
        <w:t xml:space="preserve">5. Data Analysis and Interpretation</w:t>
      </w:r>
    </w:p>
    <w:p>
      <w:pPr>
        <w:pStyle w:val="FirstParagraph"/>
      </w:pPr>
      <w:r>
        <w:t xml:space="preserve">The analysis phase of this lab report involves interpreting the collected clinical data to form a diagnostic hypothesis. For an Optometrist, this means distinguishing between physiological variations and pathological conditions. For instance, corneal topography data must be analyzed for signs of keratoconus early in its progression. In</w:t>
      </w:r>
      <w:r>
        <w:t xml:space="preserve"> </w:t>
      </w:r>
      <w:r>
        <w:t xml:space="preserve">Spain Valencia</w:t>
      </w:r>
      <w:r>
        <w:t xml:space="preserve">, where there is a strong emphasis on preventive care due to the Mediterranean lifestyle and high rates of outdoor activity, sun-related ocular surface diseases are also a significant consideration. The lab report must therefore include assessments of pterygium and photokeratitis risks.</w:t>
      </w:r>
    </w:p>
    <w:p>
      <w:pPr>
        <w:pStyle w:val="BodyText"/>
      </w:pPr>
      <w:r>
        <w:t xml:space="preserve">Furthermore, the integration of digital health records means that data analysis is not isolated. The Optometrist must ensure that findings are compatible with electronic health record systems used by hospitals such as the Hospital Clínic Universitari de Valencia or private networks like Vithas. Consistency in terminology ensures that referrals are processed smoothly.</w:t>
      </w:r>
    </w:p>
    <w:bookmarkEnd w:id="27"/>
    <w:bookmarkStart w:id="28" w:name="clinical-standards"/>
    <w:p>
      <w:pPr>
        <w:pStyle w:val="Heading2"/>
      </w:pPr>
      <w:r>
        <w:t xml:space="preserve">6. Clinical Standards and Quality Assurance</w:t>
      </w:r>
    </w:p>
    <w:p>
      <w:pPr>
        <w:pStyle w:val="FirstParagraph"/>
      </w:pPr>
      <w:r>
        <w:t xml:space="preserve">Maintaining high clinical standards is paramount. This section of the lab report outlines quality assurance measures, including regular calibration of equipment (autorefractors, phoropters, OCT machines) and participation in external quality assessment schemes (EQAS). In</w:t>
      </w:r>
      <w:r>
        <w:t xml:space="preserve"> </w:t>
      </w:r>
      <w:r>
        <w:t xml:space="preserve">Spain Valencia</w:t>
      </w:r>
      <w:r>
        <w:t xml:space="preserve">, professional colleges such as the Col·legi Oficial d'Òptics-Optometres de la Comunitat Valenciana play a crucial role in monitoring these standards. The lab report serves as evidence of adherence to these professional codes of ethics and conduct.</w:t>
      </w:r>
    </w:p>
    <w:bookmarkEnd w:id="28"/>
    <w:bookmarkStart w:id="29" w:name="conclusion"/>
    <w:p>
      <w:pPr>
        <w:pStyle w:val="Heading2"/>
      </w:pPr>
      <w:r>
        <w:t xml:space="preserve">7. Conclusion</w:t>
      </w:r>
    </w:p>
    <w:p>
      <w:pPr>
        <w:pStyle w:val="FirstParagraph"/>
      </w:pPr>
      <w:r>
        <w:t xml:space="preserve">In conclusion, this Lab Report regarding the practice of an Optometrist in Spain Valencia provides a robust framework for clinical documentation and patient care. It highlights the importance of integrating global optometric standards with local regulatory requirements and cultural health contexts. By strictly following these guidelines, healthcare professionals ensure that patients receive accurate diagnoses, appropriate referrals, and effective management of ocular conditions. The synergy between rigorous scientific methodology and local administrative compliance is essential for the continued evolution of eye care in the region.</w:t>
      </w:r>
    </w:p>
    <w:p>
      <w:pPr>
        <w:pStyle w:val="BodyText"/>
      </w:pPr>
      <w:r>
        <w:t xml:space="preserve">The specific characteristics of the patient population in</w:t>
      </w:r>
      <w:r>
        <w:t xml:space="preserve"> </w:t>
      </w:r>
      <w:r>
        <w:t xml:space="preserve">Spain Valencia</w:t>
      </w:r>
      <w:r>
        <w:t xml:space="preserve">, combined with advanced diagnostic technologies available to the modern Optometrist, necessitate a dynamic and responsive approach to clinical reporting. This document serves as a foundational tool for achieving that goal, ensuring that every lab report contributes positively to the broader healthcare ecosystem.</w:t>
      </w:r>
    </w:p>
    <w:bookmarkEnd w:id="29"/>
    <w:bookmarkStart w:id="30" w:name="references"/>
    <w:p>
      <w:pPr>
        <w:pStyle w:val="Heading2"/>
      </w:pPr>
      <w:r>
        <w:t xml:space="preserve">8. References</w:t>
      </w:r>
    </w:p>
    <w:p>
      <w:pPr>
        <w:numPr>
          <w:ilvl w:val="0"/>
          <w:numId w:val="1002"/>
        </w:numPr>
        <w:pStyle w:val="Compact"/>
      </w:pPr>
      <w:r>
        <w:t xml:space="preserve">Generalitat Valenciana. (2015). Decree on the Regulation of Optometry and Orthoptics Activities.</w:t>
      </w:r>
    </w:p>
    <w:p>
      <w:pPr>
        <w:numPr>
          <w:ilvl w:val="0"/>
          <w:numId w:val="1002"/>
        </w:numPr>
        <w:pStyle w:val="Compact"/>
      </w:pPr>
      <w:r>
        <w:t xml:space="preserve">Royal College of Ophthalmologists &amp; British Association of Vision Impairment. (Guidelines for Low Vision Services).</w:t>
      </w:r>
    </w:p>
    <w:p>
      <w:pPr>
        <w:numPr>
          <w:ilvl w:val="0"/>
          <w:numId w:val="1002"/>
        </w:numPr>
        <w:pStyle w:val="Compact"/>
      </w:pPr>
      <w:r>
        <w:t xml:space="preserve">American Academy of Optometry. (2022). Scope of Practice Guidelines.</w:t>
      </w:r>
    </w:p>
    <w:p>
      <w:pPr>
        <w:numPr>
          <w:ilvl w:val="0"/>
          <w:numId w:val="1002"/>
        </w:numPr>
        <w:pStyle w:val="Compact"/>
      </w:pPr>
      <w:r>
        <w:t xml:space="preserve">Hospital Clínic Universitari de Valencia. Clinical Pathways for Ocular Disease Management.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Optometrist Lab Report: Valencia, Spain</dc:title>
  <dc:creator/>
  <dc:language>en</dc:language>
  <cp:keywords/>
  <dcterms:created xsi:type="dcterms:W3CDTF">2026-07-29T06:50:45Z</dcterms:created>
  <dcterms:modified xsi:type="dcterms:W3CDTF">2026-07-29T06:50:45Z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