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Optometric</w:t>
      </w:r>
      <w:r>
        <w:t xml:space="preserve"> </w:t>
      </w:r>
      <w:r>
        <w:t xml:space="preserve">Lab</w:t>
      </w:r>
      <w:r>
        <w:t xml:space="preserve"> </w:t>
      </w:r>
      <w:r>
        <w:t xml:space="preserve">Report:</w:t>
      </w:r>
      <w:r>
        <w:t xml:space="preserve"> </w:t>
      </w:r>
      <w:r>
        <w:t xml:space="preserve">Comprehensive</w:t>
      </w:r>
      <w:r>
        <w:t xml:space="preserve"> </w:t>
      </w:r>
      <w:r>
        <w:t xml:space="preserve">Visual</w:t>
      </w:r>
      <w:r>
        <w:t xml:space="preserve"> </w:t>
      </w:r>
      <w:r>
        <w:t xml:space="preserve">Health</w:t>
      </w:r>
      <w:r>
        <w:t xml:space="preserve"> </w:t>
      </w:r>
      <w:r>
        <w:t xml:space="preserve">Assessment</w:t>
      </w:r>
      <w:r>
        <w:t xml:space="preserve"> </w:t>
      </w:r>
      <w:r>
        <w:t xml:space="preserve">in</w:t>
      </w:r>
      <w:r>
        <w:t xml:space="preserve"> </w:t>
      </w:r>
      <w:r>
        <w:t xml:space="preserve">Turkey,</w:t>
      </w:r>
      <w:r>
        <w:t xml:space="preserve"> </w:t>
      </w:r>
      <w:r>
        <w:t xml:space="preserve">Ankara</w:t>
      </w:r>
    </w:p>
    <w:bookmarkStart w:id="20" w:name="ophthalmic-diagnostic-laboratory-report"/>
    <w:p>
      <w:pPr>
        <w:pStyle w:val="Heading1"/>
      </w:pPr>
      <w:r>
        <w:t xml:space="preserve">Ophthalmic Diagnostic Laboratory Report</w:t>
      </w:r>
    </w:p>
    <w:p>
      <w:pPr>
        <w:pStyle w:val="FirstParagraph"/>
      </w:pPr>
      <w:r>
        <w:rPr>
          <w:bCs/>
          <w:b/>
        </w:rPr>
        <w:t xml:space="preserve">Jurisdiction:</w:t>
      </w:r>
      <w:r>
        <w:t xml:space="preserve"> </w:t>
      </w:r>
      <w:r>
        <w:t xml:space="preserve">Republic of Turkey, Ankara Province</w:t>
      </w:r>
      <w:r>
        <w:br/>
      </w:r>
      <w:r>
        <w:rPr>
          <w:bCs/>
          <w:b/>
        </w:rPr>
        <w:t xml:space="preserve">Date of Examination:</w:t>
      </w:r>
    </w:p>
    <w:bookmarkEnd w:id="20"/>
    <w:p>
      <w:pPr>
        <w:pStyle w:val="BodyText"/>
      </w:pPr>
      <w:r>
        <w:t xml:space="preserve">.</w:t>
      </w:r>
      <w:r>
        <w:br/>
      </w:r>
      <w:r>
        <w:t xml:space="preserve">The current date is: .</w:t>
      </w:r>
    </w:p>
    <w:bookmarkStart w:id="21" w:name="executive-summary"/>
    <w:p>
      <w:pPr>
        <w:pStyle w:val="Heading2"/>
      </w:pPr>
      <w:r>
        <w:t xml:space="preserve">1. Executive Summary</w:t>
      </w:r>
    </w:p>
    <w:p>
      <w:pPr>
        <w:pStyle w:val="FirstParagraph"/>
      </w:pPr>
      <w:r>
        <w:t xml:space="preserve">This comprehensive Laboratory Report details the findings and clinical evaluations conducted within the specialized Optometrist facilities in Ankara, Turkey. The primary objective of this documentation is to provide a rigorous analysis of visual health status, refractive errors, binocular vision function, and ocular surface health for patients residing in or visiting the capital region. As Ankara continues to establish itself as a hub for advanced medical tourism and local healthcare excellence in Turkey, ensuring that Optometrist services adhere to international standards is paramount. This report serves as an official record of diagnostic procedures performed using state-of-the-art technology available in Ankara’s leading ophthalmic centers.</w:t>
      </w:r>
    </w:p>
    <w:bookmarkEnd w:id="21"/>
    <w:bookmarkStart w:id="22" w:name="X8bae295fc6168eb1f2c337d1b54afff014a01e6"/>
    <w:p>
      <w:pPr>
        <w:pStyle w:val="Heading2"/>
      </w:pPr>
      <w:r>
        <w:t xml:space="preserve">2. Patient Demographics and Clinical Context</w:t>
      </w:r>
    </w:p>
    <w:p>
      <w:pPr>
        <w:pStyle w:val="FirstParagraph"/>
      </w:pPr>
      <w:r>
        <w:t xml:space="preserve">The patient profile indicates a resident of Ankara, a city characterized by its high concentration of academic institutions and government offices. This demographic often experiences significant digital eye strain due to prolonged screen time in educational and administrative settings. The clinical context for this Lab Report is situated within the Turkish National Health System (SGK) accredited laboratories or private specialized clinics in districts such as Çankaya or Keçiören, both known for their high-quality healthcare infrastructure.</w:t>
      </w:r>
    </w:p>
    <w:p>
      <w:pPr>
        <w:pStyle w:val="BodyText"/>
      </w:pPr>
      <w:r>
        <w:t xml:space="preserve">Understanding the local environmental factors is crucial. Ankara’s continental climate, with dry summers and cold winters, can exacerbate conditions such as Dry Eye Syndrome (DES). Therefore, this Optometrist assessment places particular emphasis on tear film stability and meibomian gland function alongside traditional refractive measurements.</w:t>
      </w:r>
    </w:p>
    <w:bookmarkEnd w:id="22"/>
    <w:bookmarkStart w:id="27" w:name="Xf077e066c1c02c52d0156e2b9dff739089e3dbe"/>
    <w:p>
      <w:pPr>
        <w:pStyle w:val="Heading2"/>
      </w:pPr>
      <w:r>
        <w:t xml:space="preserve">3. Methodology: Equipment and Procedures in Ankara</w:t>
      </w:r>
    </w:p>
    <w:p>
      <w:pPr>
        <w:pStyle w:val="FirstParagraph"/>
      </w:pPr>
      <w:r>
        <w:t xml:space="preserve">The diagnostic protocols followed in this Lab Report adhere to the guidelines set forth by the Turkish Ophthalmological Association (TOB) and international best practices. The following equipment, standard in modern Optometrist laboratories across Turkey, was utilized:</w:t>
      </w:r>
    </w:p>
    <w:p>
      <w:pPr>
        <w:pStyle w:val="BodyText"/>
      </w:pPr>
      <w:r>
        <w:rPr>
          <w:bCs/>
          <w:b/>
        </w:rPr>
        <w:t xml:space="preserve">Digital Phoropter and Autorefractor:</w:t>
      </w:r>
      <w:r>
        <w:t xml:space="preserve"> </w:t>
      </w:r>
      <w:r>
        <w:t xml:space="preserve">For initial objective refractive error assessment.</w:t>
      </w:r>
    </w:p>
    <w:p>
      <w:pPr>
        <w:pStyle w:val="BodyText"/>
      </w:pPr>
      <w:r>
        <w:rPr>
          <w:bCs/>
          <w:b/>
        </w:rPr>
        <w:t xml:space="preserve">Slit Lamp Biomicroscopy:</w:t>
      </w:r>
      <w:r>
        <w:t xml:space="preserve"> </w:t>
      </w:r>
      <w:r>
        <w:t xml:space="preserve">To examine anterior segment structures, including the cornea, iris, and lens.</w:t>
      </w:r>
      <w:r>
        <w:t xml:space="preserve">OCT (Optical Coherence Tomography):</w:t>
      </w:r>
      <w:r>
        <w:t xml:space="preserve"> </w:t>
      </w:r>
      <w:r>
        <w:t xml:space="preserve">High-resolution imaging of the retinal nerve fiber layer to detect glaucomatous changes.</w:t>
      </w:r>
    </w:p>
    <w:p>
      <w:pPr>
        <w:pStyle w:val="BodyText"/>
      </w:pPr>
      <w:r>
        <w:t xml:space="preserve">Topography and Pachymetry:</w:t>
      </w:r>
      <w:r>
        <w:rPr>
          <w:bCs/>
          <w:b/>
        </w:rPr>
        <w:t xml:space="preserve">Tear Break-Up Time (TBUT) Analysis:</w:t>
      </w:r>
      <w:r>
        <w:t xml:space="preserve"> </w:t>
      </w:r>
      <w:r>
        <w:t xml:space="preserve">Specifically evaluated due to the dry climate of Ankara.4. Clinical Findings</w:t>
      </w:r>
    </w:p>
    <w:bookmarkStart w:id="23" w:name="refractive-status"/>
    <w:p>
      <w:pPr>
        <w:pStyle w:val="Heading3"/>
      </w:pPr>
      <w:r>
        <w:t xml:space="preserve">4.1 Refractive Status</w:t>
      </w:r>
    </w:p>
    <w:p>
      <w:pPr>
        <w:pStyle w:val="FirstParagraph"/>
      </w:pPr>
      <w:r>
        <w:t xml:space="preserve">The subjective and objective refractive examination revealed a hyperopic astigmatism in the right eye and mild myopia in the left eye, resulting in anisometropia of 1.50 Diopters. This imbalance is common among students and office workers in Ankara who do not utilize corrective lenses consistently. The Optometrist noted that uncorrected anisometropia may lead to chronic headaches and visual fatigue, particularly during long work hours.</w:t>
      </w:r>
    </w:p>
    <w:bookmarkEnd w:id="23"/>
    <w:bookmarkStart w:id="24" w:name="ocular-surface-health"/>
    <w:p>
      <w:pPr>
        <w:pStyle w:val="Heading3"/>
      </w:pPr>
      <w:r>
        <w:t xml:space="preserve">4.2 Ocular Surface Health</w:t>
      </w:r>
    </w:p>
    <w:p>
      <w:pPr>
        <w:pStyle w:val="FirstParagraph"/>
      </w:pPr>
      <w:r>
        <w:t xml:space="preserve">A significant finding in this Lab Report is the evidence of Evaporative Dry Eye Disease. The TBUT was measured at 6 seconds (normal range: &gt;10 seconds). Given Ankara’s low humidity levels, especially during the heating season, the meibomian glands showed partial obstruction. This diagnosis is critical for tailoring treatment plans specific to patients living in Turkey’s capital region.</w:t>
      </w:r>
    </w:p>
    <w:bookmarkEnd w:id="24"/>
    <w:bookmarkStart w:id="25" w:name="X910884024f3f92d33a37314b417291f2b81449e"/>
    <w:p>
      <w:pPr>
        <w:pStyle w:val="Heading3"/>
      </w:pPr>
      <w:r>
        <w:t xml:space="preserve">4.3 Intraocular Pressure (IOP) and Glaucoma Screening</w:t>
      </w:r>
    </w:p>
    <w:p>
      <w:pPr>
        <w:pStyle w:val="FirstParagraph"/>
      </w:pPr>
      <w:r>
        <w:t xml:space="preserve">IOP measurement via Goldmann Applanation Tonometry recorded pressures of 16 mmHg in the right eye and 15 mmHg in the left eye. These values fall within the normal range, reducing the immediate risk of primary open-angle glaucoma. However, given that Turkey has a growing aging population, regular monitoring remains essential.</w:t>
      </w:r>
    </w:p>
    <w:bookmarkEnd w:id="25"/>
    <w:bookmarkStart w:id="26" w:name="retinal-and-macular-health"/>
    <w:p>
      <w:pPr>
        <w:pStyle w:val="Heading3"/>
      </w:pPr>
      <w:r>
        <w:t xml:space="preserve">4.4 Retinal and Macular Health</w:t>
      </w:r>
    </w:p>
    <w:p>
      <w:pPr>
        <w:pStyle w:val="FirstParagraph"/>
      </w:pPr>
      <w:r>
        <w:t xml:space="preserve">OCT scans showed intact macular structure with no signs of edema or drusen. The retinal nerve fiber layer thickness was symmetrical and within normal limits, indicating a healthy optic nerve head. This is particularly reassuring for patients over the age of 50 in Ankara.</w:t>
      </w:r>
    </w:p>
    <w:bookmarkEnd w:id="26"/>
    <w:bookmarkEnd w:id="27"/>
    <w:bookmarkStart w:id="28" w:name="discussion"/>
    <w:p>
      <w:pPr>
        <w:pStyle w:val="Heading2"/>
      </w:pPr>
      <w:r>
        <w:t xml:space="preserve">5. Discussion</w:t>
      </w:r>
    </w:p>
    <w:p>
      <w:pPr>
        <w:pStyle w:val="FirstParagraph"/>
      </w:pPr>
      <w:r>
        <w:t xml:space="preserve">The results presented in this Optometrist report highlight the necessity of localized care standards. While refractive errors are universal, environmental factors specific to Ankara influence ocular surface health significantly. The prevalence of digital device usage among Ankara’s youth and professionals necessitates a proactive approach to computer vision syndrome.</w:t>
      </w:r>
    </w:p>
    <w:p>
      <w:pPr>
        <w:pStyle w:val="BodyText"/>
      </w:pPr>
      <w:r>
        <w:t xml:space="preserve">Furthermore, the accessibility of advanced diagnostic tools like OCT in Ankara’s major hospitals and specialized Optometrist clinics allows for early detection of sight-threatening conditions. This Lab Report underscores the importance of integrating lifestyle counseling into routine eye exams. Patients are advised not only regarding prescription updates but also about environmental modifications, such as using humidifiers during winter months in Turkey to alleviate dry eye symptoms.</w:t>
      </w:r>
    </w:p>
    <w:bookmarkEnd w:id="28"/>
    <w:bookmarkStart w:id="29" w:name="recommendations-and-treatment-plan"/>
    <w:p>
      <w:pPr>
        <w:pStyle w:val="Heading2"/>
      </w:pPr>
      <w:r>
        <w:t xml:space="preserve">6. Recommendations and Treatment Plan</w:t>
      </w:r>
    </w:p>
    <w:p>
      <w:pPr>
        <w:pStyle w:val="FirstParagraph"/>
      </w:pPr>
      <w:r>
        <w:t xml:space="preserve">Based on the comprehensive evaluation conducted by the Optometrist in Ankara, the following recommendations are issued:</w:t>
      </w:r>
    </w:p>
    <w:p>
      <w:pPr>
        <w:numPr>
          <w:ilvl w:val="0"/>
          <w:numId w:val="1001"/>
        </w:numPr>
        <w:pStyle w:val="Compact"/>
      </w:pPr>
      <w:r>
        <w:rPr>
          <w:bCs/>
          <w:b/>
        </w:rPr>
        <w:t xml:space="preserve">Corrective Lenses:</w:t>
      </w:r>
      <w:r>
        <w:t xml:space="preserve">: .Prescribe bifocal or progressive lenses to address presbyopia and astigmatism.</w:t>
      </w:r>
    </w:p>
    <w:p>
      <w:pPr>
        <w:numPr>
          <w:ilvl w:val="0"/>
          <w:numId w:val="1001"/>
        </w:numPr>
        <w:pStyle w:val="Compact"/>
      </w:pPr>
      <w:r>
        <w:rPr>
          <w:bCs/>
          <w:b/>
        </w:rPr>
        <w:t xml:space="preserve">Dry Eye Management::</w:t>
      </w:r>
    </w:p>
    <w:p>
      <w:pPr>
        <w:numPr>
          <w:ilvl w:val="0"/>
          <w:numId w:val="1001"/>
        </w:numPr>
        <w:pStyle w:val="Compact"/>
      </w:pPr>
      <w:r>
        <w:rPr>
          <w:bCs/>
          <w:b/>
        </w:rPr>
        <w:t xml:space="preserve">Lifestyle Adjustments:</w:t>
      </w:r>
      <w:r>
        <w:t xml:space="preserve">. Implement the 20-20-20 rule (every 20 minutes, look at something 20 feet away for 20 seconds) to reduce digital eye strain.</w:t>
      </w:r>
    </w:p>
    <w:p>
      <w:pPr>
        <w:numPr>
          <w:ilvl w:val="0"/>
          <w:numId w:val="1000"/>
        </w:numPr>
        <w:pStyle w:val="Compact"/>
      </w:pPr>
      <w:r>
        <w:t xml:space="preserve">Follow-Up::</w:t>
      </w:r>
    </w:p>
    <w:p>
      <w:pPr>
        <w:pStyle w:val="FirstParagraph"/>
      </w:pPr>
      <w:r>
        <w:t xml:space="preserve">.</w:t>
      </w:r>
    </w:p>
    <w:bookmarkEnd w:id="29"/>
    <w:bookmarkStart w:id="30" w:name="conclusion"/>
    <w:p>
      <w:pPr>
        <w:pStyle w:val="Heading2"/>
      </w:pPr>
      <w:r>
        <w:t xml:space="preserve">7. Conclusion</w:t>
      </w:r>
    </w:p>
    <w:p>
      <w:pPr>
        <w:pStyle w:val="FirstParagraph"/>
      </w:pPr>
      <w:r>
        <w:t xml:space="preserve">This Lab Report confirms that the Optometrist services available in Turkey, particularly in Ankara, meet rigorous clinical standards. The detailed assessment of this patient reveals manageable refractive errors and environmental ocular surface challenges typical for the region. By combining precise diagnostic technology with localized environmental considerations, healthcare providers in Ankara can effectively preserve and enhance visual health.</w:t>
      </w:r>
    </w:p>
    <w:p>
      <w:pPr>
        <w:pStyle w:val="BodyText"/>
      </w:pPr>
      <w:r>
        <w:t xml:space="preserve">The integration of advanced diagnostics with patient-specific lifestyle advice ensures holistic care. As medical infrastructure in Turkey continues to evolve, cities like Ankara serve as exemplary models for how Optometrist practices can adapt to local climatic and demographic needs while maintaining global quality benchmarks.</w:t>
      </w:r>
    </w:p>
    <w:p>
      <w:pPr>
        <w:pStyle w:val="BodyText"/>
      </w:pPr>
      <w:r>
        <w:rPr>
          <w:bCs/>
          <w:b/>
        </w:rPr>
        <w:t xml:space="preserve">Disclaimer:</w:t>
      </w:r>
      <w:r>
        <w:t xml:space="preserve">. This is a simulated Lab Report for educational and informational purposes. It does not constitute actual medical advice. Always consult a licensed Optometrist or Ophthalmologist in Turkey for real health concerns.</w:t>
      </w:r>
      <w:r>
        <w:rPr>
          <w:iCs/>
          <w:i/>
        </w:rPr>
        <w:t xml:space="preserve">Generated under the guidelines of Turkish Healthcare Standards.</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Optometric Lab Report: Comprehensive Visual Health Assessment in Turkey, Ankara</dc:title>
  <dc:creator/>
  <dc:language>en</dc:language>
  <cp:keywords/>
  <dcterms:created xsi:type="dcterms:W3CDTF">2026-07-29T14:17:33Z</dcterms:created>
  <dcterms:modified xsi:type="dcterms:W3CDTF">2026-07-29T14:17:33Z</dcterms:modified>
</cp:coreProperties>
</file>

<file path=docProps/custom.xml><?xml version="1.0" encoding="utf-8"?>
<Properties xmlns="http://schemas.openxmlformats.org/officeDocument/2006/custom-properties" xmlns:vt="http://schemas.openxmlformats.org/officeDocument/2006/docPropsVTypes"/>
</file>