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Clinical</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3673d7c51f878660e049e7b2fba766719fa1150"/>
    <w:p>
      <w:pPr>
        <w:pStyle w:val="Heading1"/>
      </w:pPr>
      <w:r>
        <w:t xml:space="preserve">Clinical Diagnostic Report &amp; Optometrist Assessment Summary</w:t>
      </w:r>
    </w:p>
    <w:p>
      <w:pPr>
        <w:pStyle w:val="FirstParagraph"/>
      </w:pPr>
      <w:r>
        <w:rPr>
          <w:bCs/>
          <w:b/>
        </w:rPr>
        <w:t xml:space="preserve">Patient Name:</w:t>
      </w:r>
      <w:r>
        <w:t xml:space="preserve"> </w:t>
      </w:r>
      <w:r>
        <w:t xml:space="preserve">[Patient Name Redacted for Privacy]</w:t>
      </w:r>
    </w:p>
    <w:p>
      <w:pPr>
        <w:pStyle w:val="BodyText"/>
      </w:pPr>
      <w:r>
        <w:rPr>
          <w:bCs/>
          <w:b/>
        </w:rPr>
        <w:t xml:space="preserve">Date of Examination:</w:t>
      </w:r>
      <w:r>
        <w:t xml:space="preserve"> </w:t>
      </w:r>
      <w:r>
        <w:t xml:space="preserve">October 24, 2023</w:t>
      </w:r>
    </w:p>
    <w:p>
      <w:pPr>
        <w:pStyle w:val="BodyText"/>
      </w:pPr>
      <w:r>
        <w:rPr>
          <w:bCs/>
          <w:b/>
        </w:rPr>
        <w:t xml:space="preserve">Clinic Location:</w:t>
      </w:r>
      <w:r>
        <w:t xml:space="preserve"> </w:t>
      </w:r>
      <w:r>
        <w:t xml:space="preserve">Dubai Healthcare City, United Arab Emirates Dubai</w:t>
      </w:r>
    </w:p>
    <w:p>
      <w:pPr>
        <w:pStyle w:val="BodyText"/>
      </w:pPr>
      <w:r>
        <w:rPr>
          <w:bCs/>
          <w:b/>
        </w:rPr>
        <w:t xml:space="preserve">Licensed Optometrist:</w:t>
      </w:r>
      <w:r>
        <w:t xml:space="preserve"> </w:t>
      </w:r>
      <w:r>
        <w:t xml:space="preserve">Dr. A. Al-Maktoum, OD (UAE Medical License No: DHA-98765)</w:t>
      </w:r>
    </w:p>
    <w:p>
      <w:pPr>
        <w:pStyle w:val="BodyText"/>
      </w:pPr>
      <w:r>
        <w:rPr>
          <w:bCs/>
          <w:b/>
        </w:rPr>
        <w:t xml:space="preserve">Referral Source:</w:t>
      </w:r>
      <w:r>
        <w:t xml:space="preserve"> </w:t>
      </w:r>
      <w:r>
        <w:t xml:space="preserve">Routine Comprehensive Eye Examination</w:t>
      </w:r>
    </w:p>
    <w:p>
      <w:pPr>
        <w:pStyle w:val="BodyText"/>
      </w:pPr>
      <w:r>
        <w:rPr>
          <w:bCs/>
          <w:b/>
        </w:rPr>
        <w:t xml:space="preserve">Note:</w:t>
      </w:r>
      <w:r>
        <w:t xml:space="preserve"> </w:t>
      </w:r>
      <w:r>
        <w:t xml:space="preserve">This document serves as a formal clinical record within the healthcare infrastructure of the United Arab Emirates Dubai. It adheres to the regulatory standards set forth by the Dubai Health Authority (DHA) and reflects current best practices in optometry.</w:t>
      </w:r>
    </w:p>
    <w:bookmarkStart w:id="20" w:name="introduction-and-context"/>
    <w:p>
      <w:pPr>
        <w:pStyle w:val="Heading2"/>
      </w:pPr>
      <w:r>
        <w:t xml:space="preserve">1. Introduction and Context</w:t>
      </w:r>
    </w:p>
    <w:p>
      <w:pPr>
        <w:pStyle w:val="FirstParagraph"/>
      </w:pPr>
      <w:r>
        <w:t xml:space="preserve">The primary objective of this laboratory report is to document the findings of a comprehensive optometric evaluation conducted within a clinical setting in United Arab Emirates Dubai. As an integral component of the regional healthcare system, the role of the Optometrist extends beyond mere vision correction; it encompasses early detection, diagnosis, and management of ocular diseases that may affect systemic health. In United Arab Emirates Dubai, where environmental factors such as intense solar radiation and air conditioning play significant roles in ocular surface health, detailed optometric assessments are critical for maintaining public eye health.</w:t>
      </w:r>
    </w:p>
    <w:p>
      <w:pPr>
        <w:pStyle w:val="BodyText"/>
      </w:pPr>
      <w:r>
        <w:t xml:space="preserve">This report outlines the methodologies used by the Optometrist to evaluate visual acuity, refractive error, binocular vision function, and ocular pathology. The data presented herein supports clinical decision-making and ensures continuity of care within the United Arab Emirates Dubai medical ecosystem.</w:t>
      </w:r>
    </w:p>
    <w:bookmarkEnd w:id="20"/>
    <w:bookmarkStart w:id="21" w:name="Xa8f3c412fc88dd9ef3990de3a1357fdf763eb58"/>
    <w:p>
      <w:pPr>
        <w:pStyle w:val="Heading2"/>
      </w:pPr>
      <w:r>
        <w:t xml:space="preserve">2. Methodology: Optometric Assessment Protocols</w:t>
      </w:r>
    </w:p>
    <w:p>
      <w:pPr>
        <w:pStyle w:val="FirstParagraph"/>
      </w:pPr>
      <w:r>
        <w:t xml:space="preserve">The examination was performed using state-of-the-art diagnostic equipment compliant with international standards and local regulations in United Arab Emirates Dubai. The following protocols were strictly followed by the Optometrist:</w:t>
      </w:r>
    </w:p>
    <w:p>
      <w:pPr>
        <w:pStyle w:val="BodyText"/>
      </w:pPr>
      <w:r>
        <w:rPr>
          <w:bCs/>
          <w:b/>
        </w:rPr>
        <w:t xml:space="preserve">Acutometry:</w:t>
      </w:r>
      <w:r>
        <w:t xml:space="preserve"> </w:t>
      </w:r>
      <w:r>
        <w:t xml:space="preserve">Distance and near visual acuity were measured using ETDRS charts, which are the gold standard for precision in optometric evaluations.</w:t>
      </w:r>
    </w:p>
    <w:p>
      <w:pPr>
        <w:pStyle w:val="BodyText"/>
      </w:pPr>
      <w:r>
        <w:rPr>
          <w:bCs/>
          <w:b/>
        </w:rPr>
        <w:t xml:space="preserve">Refraction:</w:t>
      </w:r>
    </w:p>
    <w:p>
      <w:pPr>
        <w:numPr>
          <w:ilvl w:val="0"/>
          <w:numId w:val="1001"/>
        </w:numPr>
        <w:pStyle w:val="Compact"/>
      </w:pPr>
      <w:r>
        <w:rPr>
          <w:iCs/>
          <w:i/>
        </w:rPr>
        <w:t xml:space="preserve">Sphero-Cylindrical Refraction:</w:t>
      </w:r>
      <w:r>
        <w:t xml:space="preserve"> </w:t>
      </w:r>
      <w:r>
        <w:t xml:space="preserve">Determined via objective auto-refractor followed by subjective refinement using phoropter.</w:t>
      </w:r>
    </w:p>
    <w:p>
      <w:pPr>
        <w:numPr>
          <w:ilvl w:val="0"/>
          <w:numId w:val="1001"/>
        </w:numPr>
        <w:pStyle w:val="Compact"/>
      </w:pPr>
      <w:r>
        <w:rPr>
          <w:iCs/>
          <w:i/>
        </w:rPr>
        <w:t xml:space="preserve">Cycloplegic Refraction:</w:t>
      </w:r>
      <w:r>
        <w:t xml:space="preserve">: Administered in cases of suspected accommodative spasm or significant hyperopia, ensuring accurate measurement of latent refractive errors.</w:t>
      </w:r>
    </w:p>
    <w:p>
      <w:pPr>
        <w:pStyle w:val="FirstParagraph"/>
      </w:pPr>
      <w:r>
        <w:rPr>
          <w:bCs/>
          <w:b/>
        </w:rPr>
        <w:t xml:space="preserve">Ocular Surface Analysis:</w:t>
      </w:r>
    </w:p>
    <w:p>
      <w:pPr>
        <w:numPr>
          <w:ilvl w:val="0"/>
          <w:numId w:val="1002"/>
        </w:numPr>
        <w:pStyle w:val="Compact"/>
      </w:pPr>
      <w:r>
        <w:rPr>
          <w:iCs/>
          <w:i/>
        </w:rPr>
        <w:t xml:space="preserve">Tear Film Break-up Time (TBUT):</w:t>
      </w:r>
      <w:r>
        <w:t xml:space="preserve">: Measured to assess evaporative dry eye disease, a prevalent condition in the arid climate of United Arab Emirates Dubai.</w:t>
      </w:r>
    </w:p>
    <w:p>
      <w:pPr>
        <w:numPr>
          <w:ilvl w:val="0"/>
          <w:numId w:val="1002"/>
        </w:numPr>
        <w:pStyle w:val="Compact"/>
      </w:pPr>
      <w:r>
        <w:rPr>
          <w:iCs/>
          <w:i/>
        </w:rPr>
        <w:t xml:space="preserve">Lipid Layer Interferometry:</w:t>
      </w:r>
      <w:r>
        <w:t xml:space="preserve">: Used to evaluate the quality of the tear film lipid layer.</w:t>
      </w:r>
    </w:p>
    <w:p>
      <w:pPr>
        <w:pStyle w:val="FirstParagraph"/>
      </w:pPr>
      <w:r>
        <w:rPr>
          <w:bCs/>
          <w:b/>
        </w:rPr>
        <w:t xml:space="preserve">Ophthalmoscopy and Tonometry:</w:t>
      </w:r>
    </w:p>
    <w:p>
      <w:pPr>
        <w:numPr>
          <w:ilvl w:val="0"/>
          <w:numId w:val="1003"/>
        </w:numPr>
        <w:pStyle w:val="Compact"/>
      </w:pPr>
      <w:r>
        <w:rPr>
          <w:iCs/>
          <w:i/>
        </w:rPr>
        <w:t xml:space="preserve">Intraocular Pressure (IOP):</w:t>
      </w:r>
      <w:r>
        <w:t xml:space="preserve">: Measured via Goldmann Applanation Tonometry to screen for glaucoma.</w:t>
      </w:r>
    </w:p>
    <w:p>
      <w:pPr>
        <w:numPr>
          <w:ilvl w:val="0"/>
          <w:numId w:val="1003"/>
        </w:numPr>
        <w:pStyle w:val="Compact"/>
      </w:pPr>
      <w:r>
        <w:rPr>
          <w:iCs/>
          <w:i/>
        </w:rPr>
        <w:t xml:space="preserve">Dilated Fundus Examination:</w:t>
      </w:r>
      <w:r>
        <w:t xml:space="preserve">: Performed to visualize the retina, optic nerve head, and macula.</w:t>
      </w:r>
    </w:p>
    <w:bookmarkEnd w:id="21"/>
    <w:bookmarkStart w:id="24" w:name="clinical-findings"/>
    <w:p>
      <w:pPr>
        <w:pStyle w:val="Heading2"/>
      </w:pPr>
      <w:r>
        <w:t xml:space="preserve">3. Clinical Findings</w:t>
      </w:r>
    </w:p>
    <w:bookmarkStart w:id="22" w:name="a.-visual-acuity-and-refraction"/>
    <w:p>
      <w:pPr>
        <w:pStyle w:val="Heading3"/>
      </w:pPr>
      <w:r>
        <w:t xml:space="preserve">A. Visual Acuity and Refraction</w:t>
      </w:r>
    </w:p>
    <w:p>
      <w:pPr>
        <w:pStyle w:val="FirstParagraph"/>
      </w:pPr>
      <w:r>
        <w:t xml:space="preserve">Metric</w:t>
      </w:r>
    </w:p>
    <w:p>
      <w:pPr>
        <w:pStyle w:val="BodyText"/>
      </w:pPr>
      <w:r>
        <w:t xml:space="preserve">Right Eye (OD)</w:t>
      </w:r>
    </w:p>
    <w:p>
      <w:pPr>
        <w:pStyle w:val="BodyText"/>
      </w:pPr>
      <w:r>
        <w:t xml:space="preserve">Left Eye (OS)</w:t>
      </w:r>
    </w:p>
    <w:p>
      <w:pPr>
        <w:pStyle w:val="BodyText"/>
      </w:pPr>
      <w:r>
        <w:t xml:space="preserve">Distance VA (Uncorrected)</w:t>
      </w:r>
    </w:p>
    <w:p>
      <w:pPr>
        <w:pStyle w:val="BodyText"/>
      </w:pPr>
      <w:r>
        <w:t xml:space="preserve">20/30</w:t>
      </w:r>
    </w:p>
    <w:p>
      <w:pPr>
        <w:pStyle w:val="BodyText"/>
      </w:pPr>
      <w:r>
        <w:t xml:space="preserve">20/40</w:t>
      </w:r>
    </w:p>
    <w:p>
      <w:pPr>
        <w:pStyle w:val="BodyText"/>
      </w:pPr>
      <w:r>
        <w:t xml:space="preserve">CORRECTED VA</w:t>
      </w:r>
    </w:p>
    <w:p>
      <w:pPr>
        <w:pStyle w:val="BodyText"/>
      </w:pPr>
      <w:r>
        <w:t xml:space="preserve">20/20 (+1.50 - 1.75 x 95)</w:t>
      </w:r>
    </w:p>
    <w:p>
      <w:pPr>
        <w:pStyle w:val="BodyText"/>
      </w:pPr>
      <w:r>
        <w:t xml:space="preserve">20/20 (+1.75 - 1.50 x 88)</w:t>
      </w:r>
    </w:p>
    <w:p>
      <w:pPr>
        <w:pStyle w:val="BodyText"/>
      </w:pPr>
      <w:r>
        <w:t xml:space="preserve">Near VA (Uncorrected, Age Appropriate)</w:t>
      </w:r>
    </w:p>
    <w:p>
      <w:pPr>
        <w:pStyle w:val="BodyText"/>
      </w:pPr>
      <w:r>
        <w:t xml:space="preserve">N/A</w:t>
      </w:r>
    </w:p>
    <w:p>
      <w:pPr>
        <w:pStyle w:val="BodyText"/>
      </w:pPr>
      <w:r>
        <w:t xml:space="preserve">N/A</w:t>
      </w:r>
    </w:p>
    <w:p>
      <w:pPr>
        <w:pStyle w:val="BodyText"/>
      </w:pPr>
      <w:r>
        <w:t xml:space="preserve">The Optometrist noted a mild hyperopic astigmatism in both eyes. The corrected visual acuity reached 20/20 with appropriate spherical and cylindrical correction. This finding is consistent with common refractive errors observed in the demographic served by clinics across United Arab Emirates Dubai.</w:t>
      </w:r>
    </w:p>
    <w:bookmarkEnd w:id="22"/>
    <w:bookmarkStart w:id="23" w:name="b.-ocular-health-and-pathology-screening"/>
    <w:p>
      <w:pPr>
        <w:pStyle w:val="Heading3"/>
      </w:pPr>
      <w:r>
        <w:t xml:space="preserve">B. Ocular Health and Pathology Screening</w:t>
      </w:r>
    </w:p>
    <w:p>
      <w:pPr>
        <w:pStyle w:val="FirstParagraph"/>
      </w:pPr>
      <w:r>
        <w:t xml:space="preserve">The Optometrist conducted a thorough evaluation of the anterior segment, posterior segment, and binocular vision system. Key findings include:</w:t>
      </w:r>
    </w:p>
    <w:p>
      <w:pPr>
        <w:pStyle w:val="BodyText"/>
      </w:pPr>
      <w:r>
        <w:rPr>
          <w:bCs/>
          <w:b/>
        </w:rPr>
        <w:t xml:space="preserve">Intraocular Pressure (IOP):</w:t>
      </w:r>
    </w:p>
    <w:p>
      <w:pPr>
        <w:numPr>
          <w:ilvl w:val="0"/>
          <w:numId w:val="1004"/>
        </w:numPr>
        <w:pStyle w:val="Compact"/>
      </w:pPr>
      <w:r>
        <w:t xml:space="preserve">Right Eye: 14 mmHg</w:t>
      </w:r>
    </w:p>
    <w:p>
      <w:pPr>
        <w:numPr>
          <w:ilvl w:val="0"/>
          <w:numId w:val="1004"/>
        </w:numPr>
        <w:pStyle w:val="Compact"/>
      </w:pPr>
      <w:r>
        <w:rPr>
          <w:bCs/>
          <w:b/>
        </w:rPr>
        <w:t xml:space="preserve">Lipid Layer Thickness:</w:t>
      </w:r>
      <w:r>
        <w:t xml:space="preserve"> </w:t>
      </w:r>
      <w:r>
        <w:t xml:space="preserve">100-130 nm, indicating a healthy lipid layer despite the dry environment of United Arab Emirates Dubai. However, mild evaporative symptoms were reported by the patient during prolonged screen use.</w:t>
      </w:r>
    </w:p>
    <w:bookmarkEnd w:id="23"/>
    <w:bookmarkEnd w:id="24"/>
    <w:bookmarkStart w:id="25" w:name="discussion-and-clinical-interpretation"/>
    <w:p>
      <w:pPr>
        <w:pStyle w:val="Heading2"/>
      </w:pPr>
      <w:r>
        <w:t xml:space="preserve">4. Discussion and Clinical Interpretation</w:t>
      </w:r>
    </w:p>
    <w:p>
      <w:pPr>
        <w:pStyle w:val="FirstParagraph"/>
      </w:pPr>
      <w:r>
        <w:t xml:space="preserve">The clinical data presented in this Optometrist report indicates a generally healthy ocular status for the patient residing in United Arab Emirates Dubai. The presence of mild hyperopia suggests that without corrective lenses, the patient may experience asthenopia (eye strain) during prolonged near work, which is prevalent among professionals and students in urban centers like Dubai.</w:t>
      </w:r>
    </w:p>
    <w:p>
      <w:pPr>
        <w:pStyle w:val="BodyText"/>
      </w:pPr>
      <w:r>
        <w:t xml:space="preserve">The evaluation of tear film dynamics was particularly significant given the location. The arid climate and indoor air conditioning in United Arab Emirates Dubai contribute to increased evaporative loss from the ocular surface. While the current lipid layer thickness is adequate, preventive counseling regarding blink exercises and environmental humidification is recommended to maintain ocular surface homeostasis.</w:t>
      </w:r>
    </w:p>
    <w:p>
      <w:pPr>
        <w:pStyle w:val="BodyText"/>
      </w:pPr>
      <w:r>
        <w:t xml:space="preserve">Furthermore, this comprehensive assessment underscores the importance of regular Optometrist visits in United Arab Emirates Dubai. Early detection of conditions such as glaucoma, diabetic retinopathy, or age-related macular degeneration can prevent irreversible vision loss. The integration of advanced diagnostic tools allows the Optometrist to provide precise care tailored to the specific environmental and genetic factors affecting patients in this region.</w:t>
      </w:r>
    </w:p>
    <w:bookmarkEnd w:id="25"/>
    <w:bookmarkStart w:id="26" w:name="recommendations-and-management-plan"/>
    <w:p>
      <w:pPr>
        <w:pStyle w:val="Heading2"/>
      </w:pPr>
      <w:r>
        <w:t xml:space="preserve">5. Recommendations and Management Plan</w:t>
      </w:r>
    </w:p>
    <w:p>
      <w:pPr>
        <w:pStyle w:val="FirstParagraph"/>
      </w:pPr>
      <w:r>
        <w:t xml:space="preserve">Based on the findings, the following management plan is recommended by the Optometrist:</w:t>
      </w:r>
    </w:p>
    <w:p>
      <w:pPr>
        <w:pStyle w:val="BodyText"/>
      </w:pPr>
      <w:r>
        <w:rPr>
          <w:bCs/>
          <w:b/>
        </w:rPr>
        <w:t xml:space="preserve">Corrective Lenses:</w:t>
      </w:r>
    </w:p>
    <w:p>
      <w:pPr>
        <w:numPr>
          <w:ilvl w:val="0"/>
          <w:numId w:val="1005"/>
        </w:numPr>
        <w:pStyle w:val="Compact"/>
      </w:pPr>
      <w:r>
        <w:t xml:space="preserve">Prescription of single-vision distance glasses for clear unaided vision.</w:t>
      </w:r>
    </w:p>
    <w:p>
      <w:pPr>
        <w:numPr>
          <w:ilvl w:val="0"/>
          <w:numId w:val="1005"/>
        </w:numPr>
        <w:pStyle w:val="Compact"/>
      </w:pPr>
      <w:r>
        <w:t xml:space="preserve">Suggest anti-reflective coating to reduce glare, particularly useful during night driving in United Arab Emirates Dubai.</w:t>
      </w:r>
    </w:p>
    <w:p>
      <w:pPr>
        <w:pStyle w:val="FirstParagraph"/>
      </w:pPr>
      <w:r>
        <w:br/>
      </w:r>
    </w:p>
    <w:p>
      <w:pPr>
        <w:pStyle w:val="BodyText"/>
      </w:pPr>
      <w:r>
        <w:rPr>
          <w:bCs/>
          <w:b/>
        </w:rPr>
        <w:t xml:space="preserve">Ocular Surface Care:</w:t>
      </w:r>
    </w:p>
    <w:p>
      <w:pPr>
        <w:pStyle w:val="BodyText"/>
      </w:pPr>
      <w:r>
        <w:t xml:space="preserve">Use preservative-free artificial tears if symptoms of dryness persist. Limit continuous screen time using the 20-20-20 rule (every 20 minutes, look at something 20 feet away for 20 seconds).</w:t>
      </w:r>
      <w:r>
        <w:br/>
      </w:r>
    </w:p>
    <w:p>
      <w:pPr>
        <w:pStyle w:val="BodyText"/>
      </w:pPr>
      <w:r>
        <w:rPr>
          <w:bCs/>
          <w:b/>
        </w:rPr>
        <w:t xml:space="preserve">FOLLOW-UP:</w:t>
      </w:r>
    </w:p>
    <w:p>
      <w:pPr>
        <w:pStyle w:val="BodyText"/>
      </w:pPr>
      <w:r>
        <w:t xml:space="preserve">Annual comprehensive eye examination is recommended to monitor refractive changes and ocular health. Immediate appointment if sudden visual disturbances occur.</w:t>
      </w:r>
    </w:p>
    <w:bookmarkEnd w:id="26"/>
    <w:bookmarkStart w:id="27" w:name="conclusion"/>
    <w:p>
      <w:pPr>
        <w:pStyle w:val="Heading2"/>
      </w:pPr>
      <w:r>
        <w:t xml:space="preserve">6. Conclusion</w:t>
      </w:r>
    </w:p>
    <w:p>
      <w:pPr>
        <w:pStyle w:val="FirstParagraph"/>
      </w:pPr>
      <w:r>
        <w:t xml:space="preserve">This Lab Report serves as a comprehensive summary of the Optometrist's evaluation within the healthcare framework of United Arab Emirates Dubai. The examination revealed mild hyperopic astigmatism requiring correction but no sight-threatening pathology. The patient was educated on ocular hygiene practices relevant to the local environment.</w:t>
      </w:r>
    </w:p>
    <w:p>
      <w:pPr>
        <w:pStyle w:val="BodyText"/>
      </w:pPr>
      <w:r>
        <w:t xml:space="preserve">The role of the Optometrist in United Arab Emirates Dubai is pivotal not only in vision correction but also in public health surveillance. By adhering to rigorous diagnostic protocols and utilizing advanced technology, healthcare providers can ensure that residents of United Arab Emirates Dubai maintain optimal visual function and overall ocular health. This report will be integrated into the patient's electronic medical record (EMR) accessible through authorized healthcare networks in Dubai.</w:t>
      </w:r>
    </w:p>
    <w:p>
      <w:pPr>
        <w:pStyle w:val="BodyText"/>
      </w:pPr>
      <w:r>
        <w:rPr>
          <w:bCs/>
          <w:b/>
        </w:rPr>
        <w:t xml:space="preserve">Signature:</w:t>
      </w:r>
    </w:p>
    <w:p>
      <w:pPr>
        <w:pStyle w:val="BodyText"/>
      </w:pPr>
      <w:r>
        <w:t xml:space="preserve">Dr. A. Al-Maktoum, OD</w:t>
      </w:r>
    </w:p>
    <w:p>
      <w:pPr>
        <w:pStyle w:val="BodyText"/>
      </w:pPr>
      <w:r>
        <w:t xml:space="preserve">Licensed Optometrist | United Arab Emirates Dubai</w:t>
      </w:r>
    </w:p>
    <w:p>
      <w:pPr>
        <w:pStyle w:val="BodyText"/>
      </w:pPr>
      <w:r>
        <w:rPr>
          <w:iCs/>
          <w:i/>
        </w:rPr>
        <w:t xml:space="preserve">This document is confidential and intended solely for the use of the patient and authorized healthcare providers.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Clinical Lab Report: United Arab Emirates Dubai</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