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and</w:t>
      </w:r>
      <w:r>
        <w:t xml:space="preserve"> </w:t>
      </w:r>
      <w:r>
        <w:t xml:space="preserve">Diagnostic</w:t>
      </w:r>
      <w:r>
        <w:t xml:space="preserve"> </w:t>
      </w:r>
      <w:r>
        <w:t xml:space="preserve">Protocols</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An</w:t>
      </w:r>
      <w:r>
        <w:t xml:space="preserve"> </w:t>
      </w:r>
      <w:r>
        <w:t xml:space="preserve">Optometrist</w:t>
      </w:r>
      <w:r>
        <w:t xml:space="preserve"> </w:t>
      </w:r>
      <w:r>
        <w:t xml:space="preserve">Lab</w:t>
      </w:r>
      <w:r>
        <w:t xml:space="preserve"> </w:t>
      </w:r>
      <w:r>
        <w:t xml:space="preserve">Report</w:t>
      </w:r>
    </w:p>
    <w:bookmarkStart w:id="20" w:name="X4dcdf3f395766aa645212ba6c39adf58a04200e"/>
    <w:p>
      <w:pPr>
        <w:pStyle w:val="Heading1"/>
      </w:pPr>
      <w:r>
        <w:t xml:space="preserve">Clinical Practice and Diagnostic Protocols in United Kingdom London</w:t>
      </w:r>
    </w:p>
    <w:p>
      <w:pPr>
        <w:pStyle w:val="FirstParagraph"/>
      </w:pPr>
      <w:r>
        <w:rPr>
          <w:bCs/>
          <w:b/>
        </w:rPr>
        <w:t xml:space="preserve">Title:</w:t>
      </w:r>
      <w:r>
        <w:t xml:space="preserve"> </w:t>
      </w:r>
      <w:r>
        <w:t xml:space="preserve">Comprehensive Evaluation of Optical Coherence Tomography and Refractive Analysis in an Urban Optometrist Setting within United Kingdom London</w:t>
      </w:r>
    </w:p>
    <w:p>
      <w:pPr>
        <w:pStyle w:val="BodyText"/>
      </w:pPr>
      <w:r>
        <w:rPr>
          <w:bCs/>
          <w:b/>
        </w:rPr>
        <w:t xml:space="preserve">Date:</w:t>
      </w:r>
      <w:r>
        <w:t xml:space="preserve"> </w:t>
      </w:r>
      <w:r>
        <w:t xml:space="preserve">October 24, 2023</w:t>
      </w:r>
    </w:p>
    <w:p>
      <w:pPr>
        <w:pStyle w:val="BodyText"/>
      </w:pPr>
      <w:r>
        <w:rPr>
          <w:bCs/>
          <w:b/>
        </w:rPr>
        <w:t xml:space="preserve">Prepared For:</w:t>
      </w:r>
      <w:r>
        <w:t xml:space="preserve">NHS England Eye Care Standards &amp; Private Clinical Review Board</w:t>
      </w:r>
    </w:p>
    <w:p>
      <w:pPr>
        <w:pStyle w:val="BodyText"/>
      </w:pPr>
      <w:r>
        <w:br/>
      </w:r>
    </w:p>
    <w:bookmarkEnd w:id="20"/>
    <w:bookmarkStart w:id="21" w:name="introduction-and-background"/>
    <w:p>
      <w:pPr>
        <w:pStyle w:val="Heading2"/>
      </w:pPr>
      <w:r>
        <w:t xml:space="preserve">1. Introduction and Background</w:t>
      </w:r>
    </w:p>
    <w:p>
      <w:pPr>
        <w:pStyle w:val="FirstParagraph"/>
      </w:pPr>
      <w:r>
        <w:t xml:space="preserve">The role of the Optometrist within the healthcare framework of United Kingdom London has evolved significantly over the past two decades. As one of the most densely populated and diverse metropolitan areas in Europe, United Kingdom London presents unique challenges regarding public eye health management. This report aims to document standard operating procedures, diagnostic findings, and clinical outcomes observed during routine practice sessions conducted by a certified Optometrist specializing in ocular disease detection and refractive error correction.</w:t>
      </w:r>
    </w:p>
    <w:p>
      <w:pPr>
        <w:pStyle w:val="BodyText"/>
      </w:pPr>
      <w:r>
        <w:t xml:space="preserve">In the context of United Kingdom London, patients often present with complex comorbidities including diabetes mellitus and hypertension, which exacerbate ocular conditions such as diabetic retinopathy and hypertensive retinopathy. Consequently, the Optometrist serves not only as a primary vision care provider but also as a critical gateway for systemic health identification. This lab report details the procedural efficacy of modern diagnostic technologies employed in clinical settings across London boroughs, emphasizing adherence to standards set by the General Optical Council (GOC).</w:t>
      </w:r>
    </w:p>
    <w:bookmarkEnd w:id="21"/>
    <w:bookmarkStart w:id="22" w:name="objective-and-scope"/>
    <w:p>
      <w:pPr>
        <w:pStyle w:val="Heading2"/>
      </w:pPr>
      <w:r>
        <w:t xml:space="preserve">2. Objective and Scope</w:t>
      </w:r>
    </w:p>
    <w:p>
      <w:pPr>
        <w:pStyle w:val="FirstParagraph"/>
      </w:pPr>
      <w:r>
        <w:t xml:space="preserve">The primary objective of this observational lab report is to analyze the diagnostic accuracy of Spectral-Domain Optical Coherence Tomography (SD-OCT) and automated refractometry when utilized by an Optometrist in a high-volume urban clinic located in United Kingdom London. Secondary objectives include evaluating patient compliance with follow-up protocols for early-stage glaucoma detection and assessing the integration of digital health records within the NHS framework.</w:t>
      </w:r>
    </w:p>
    <w:p>
      <w:pPr>
        <w:pStyle w:val="BodyText"/>
      </w:pPr>
      <w:r>
        <w:t xml:space="preserve">This document serves as a formal record of clinical observations, ensuring that all procedures conducted by the Optometrist align with best practices established for eye care professionals operating in United Kingdom London. It highlights the necessity for rigorous documentation to maintain regulatory compliance and ensure equitable patient care across diverse socioeconomic demographics found within the city.</w:t>
      </w:r>
    </w:p>
    <w:bookmarkEnd w:id="22"/>
    <w:bookmarkStart w:id="23" w:name="methodology-and-equipment"/>
    <w:p>
      <w:pPr>
        <w:pStyle w:val="Heading2"/>
      </w:pPr>
      <w:r>
        <w:t xml:space="preserve">3. Methodology and Equipment</w:t>
      </w:r>
    </w:p>
    <w:p>
      <w:pPr>
        <w:pStyle w:val="FirstParagraph"/>
      </w:pPr>
      <w:r>
        <w:t xml:space="preserve">The clinical assessment was conducted in a fully equipped optical practice situated in central United Kingdom London. The following diagnostic tools were utilized during the testing period:</w:t>
      </w:r>
    </w:p>
    <w:p>
      <w:pPr>
        <w:numPr>
          <w:ilvl w:val="0"/>
          <w:numId w:val="1001"/>
        </w:numPr>
        <w:pStyle w:val="Compact"/>
      </w:pPr>
      <w:r>
        <w:rPr>
          <w:bCs/>
          <w:b/>
        </w:rPr>
        <w:t xml:space="preserve">Spectral-Domain Optical Coherence Tomography (SD-OCT):</w:t>
      </w:r>
      <w:r>
        <w:t xml:space="preserve"> </w:t>
      </w:r>
      <w:r>
        <w:t xml:space="preserve">Used for high-resolution cross-sectional imaging of the retina and optic nerve head, crucial for detecting early glaucomatous changes.</w:t>
      </w:r>
    </w:p>
    <w:p>
      <w:pPr>
        <w:numPr>
          <w:ilvl w:val="0"/>
          <w:numId w:val="1001"/>
        </w:numPr>
        <w:pStyle w:val="Compact"/>
      </w:pPr>
      <w:r>
        <w:rPr>
          <w:bCs/>
          <w:b/>
        </w:rPr>
        <w:t xml:space="preserve">Automatic Refractometer:</w:t>
      </w:r>
      <w:r>
        <w:t xml:space="preserve"> </w:t>
      </w:r>
      <w:r>
        <w:t xml:space="preserve">Employed to determine baseline refractive errors such as myopia, hyperopia, astigmatism, and presbyopia.</w:t>
      </w:r>
    </w:p>
    <w:p>
      <w:pPr>
        <w:numPr>
          <w:ilvl w:val="0"/>
          <w:numId w:val="1001"/>
        </w:numPr>
        <w:pStyle w:val="Compact"/>
      </w:pPr>
      <w:r>
        <w:rPr>
          <w:bCs/>
          <w:b/>
        </w:rPr>
        <w:t xml:space="preserve">Vision Testing Chart (ETDRS):</w:t>
      </w:r>
      <w:r>
        <w:t xml:space="preserve"> </w:t>
      </w:r>
      <w:r>
        <w:t xml:space="preserve">Standardized chart for measuring visual acuity under controlled lighting conditions.</w:t>
      </w:r>
    </w:p>
    <w:p>
      <w:pPr>
        <w:numPr>
          <w:ilvl w:val="0"/>
          <w:numId w:val="1001"/>
        </w:numPr>
        <w:pStyle w:val="Compact"/>
      </w:pPr>
      <w:r>
        <w:rPr>
          <w:bCs/>
          <w:b/>
        </w:rPr>
        <w:t xml:space="preserve">Slit-Lamp Biomicroscopy:</w:t>
      </w:r>
      <w:r>
        <w:t xml:space="preserve"> </w:t>
      </w:r>
      <w:r>
        <w:t xml:space="preserve">Essential for anterior segment examination to detect cataracts, corneal abnormalities, and signs of ocular surface disease.</w:t>
      </w:r>
    </w:p>
    <w:p>
      <w:pPr>
        <w:pStyle w:val="FirstParagraph"/>
      </w:pPr>
      <w:r>
        <w:t xml:space="preserve">All instruments were calibrated daily according to manufacturer specifications. The Optometrist adhered strictly to the "Code of Practice" mandated for optical professionals in United Kingdom London, ensuring patient safety and data confidentiality in accordance with GDPR regulations.</w:t>
      </w:r>
    </w:p>
    <w:bookmarkEnd w:id="23"/>
    <w:bookmarkStart w:id="27" w:name="clinical-observations-and-results"/>
    <w:p>
      <w:pPr>
        <w:pStyle w:val="Heading2"/>
      </w:pPr>
      <w:r>
        <w:t xml:space="preserve">4. Clinical Observations and Results</w:t>
      </w:r>
    </w:p>
    <w:p>
      <w:pPr>
        <w:pStyle w:val="FirstParagraph"/>
      </w:pPr>
      <w:r>
        <w:t xml:space="preserve">A cohort of 50 patients was assessed over a two-week period. The demographic profile reflected the diverse population of United Kingdom London, with an age range spanning from 18 to 85 years.</w:t>
      </w:r>
    </w:p>
    <w:bookmarkStart w:id="24" w:name="refractive-error-analysis"/>
    <w:p>
      <w:pPr>
        <w:pStyle w:val="Heading3"/>
      </w:pPr>
      <w:r>
        <w:t xml:space="preserve">4.1 Refractive Error Analysis</w:t>
      </w:r>
    </w:p>
    <w:p>
      <w:pPr>
        <w:pStyle w:val="FirstParagraph"/>
      </w:pPr>
      <w:r>
        <w:t xml:space="preserve">The automated refractometer data indicated that approximately 65% of patients presented with uncorrected myopia, a prevalent condition among younger demographics in United Kingdom London likely influenced by lifestyle factors including increased screen time and urban environmental stressors. Astigmatism was noted in 20% of the cohort, while hyperopia remained less common at 15%. These findings underscore the importance of regular optometric check-ups for children and young adults residing in densely populated urban centers.</w:t>
      </w:r>
    </w:p>
    <w:bookmarkEnd w:id="24"/>
    <w:bookmarkStart w:id="25" w:name="ocular-disease-detection"/>
    <w:p>
      <w:pPr>
        <w:pStyle w:val="Heading3"/>
      </w:pPr>
      <w:r>
        <w:t xml:space="preserve">4.2 Ocular Disease Detection</w:t>
      </w:r>
    </w:p>
    <w:p>
      <w:pPr>
        <w:pStyle w:val="FirstParagraph"/>
      </w:pPr>
      <w:r>
        <w:t xml:space="preserve">The SD-OCT scans revealed early signs of glaucomatous cupping in 8% of patients over the age of 50. Notably, several patients were unaware of their condition prior to this appointment, highlighting the vital role of the Optometrist as a frontline diagnostician. Furthermore, mild diabetic retinopathy was detected in 12% of patients with a known history type-2 diabetes. These findings necessitated immediate referral to ophthalmologists within NHS trusts for further management.</w:t>
      </w:r>
    </w:p>
    <w:bookmarkEnd w:id="25"/>
    <w:bookmarkStart w:id="26" w:name="anterior-segment-health"/>
    <w:p>
      <w:pPr>
        <w:pStyle w:val="Heading3"/>
      </w:pPr>
      <w:r>
        <w:t xml:space="preserve">4.3 Anterior Segment Health</w:t>
      </w:r>
    </w:p>
    <w:p>
      <w:pPr>
        <w:pStyle w:val="FirstParagraph"/>
      </w:pPr>
      <w:r>
        <w:t xml:space="preserve">Slit-lamp examinations identified early nuclear cataract formation in 10% of patients aged over 60. Additionally, dry eye syndrome was reported by nearly 40% of participants, correlated with environmental factors such as air conditioning in office buildings and low humidity levels typical of indoor environments in United Kingdom London during winter months.</w:t>
      </w:r>
    </w:p>
    <w:bookmarkEnd w:id="26"/>
    <w:bookmarkEnd w:id="27"/>
    <w:bookmarkStart w:id="28" w:name="discussion"/>
    <w:p>
      <w:pPr>
        <w:pStyle w:val="Heading2"/>
      </w:pPr>
      <w:r>
        <w:t xml:space="preserve">5. Discussion</w:t>
      </w:r>
    </w:p>
    <w:p>
      <w:pPr>
        <w:pStyle w:val="FirstParagraph"/>
      </w:pPr>
      <w:r>
        <w:t xml:space="preserve">The data collected reinforces the critical necessity for comprehensive eye examinations performed by qualified Optometrists in United Kingdom London. The high prevalence of undiagnosed ocular pathologies suggests that public awareness campaigns regarding eye health are needed to encourage routine visits. The integration of advanced imaging technology, such as SD-OCT, into primary care settings allows the Optometrist to detect diseases at stages where intervention is most effective.</w:t>
      </w:r>
    </w:p>
    <w:p>
      <w:pPr>
        <w:pStyle w:val="BodyText"/>
      </w:pPr>
      <w:r>
        <w:t xml:space="preserve">Furthermore, the demographic diversity of United Kingdom London requires a culturally competent approach to patient care. Language barriers and varying health literacy levels necessitate clear communication strategies by the Optometrist. The use of digital imaging allows for easier explanation of conditions to patients who may struggle with verbal medical terminology.</w:t>
      </w:r>
    </w:p>
    <w:bookmarkEnd w:id="28"/>
    <w:bookmarkStart w:id="29" w:name="conclusion"/>
    <w:p>
      <w:pPr>
        <w:pStyle w:val="Heading2"/>
      </w:pPr>
      <w:r>
        <w:t xml:space="preserve">6. Conclusion</w:t>
      </w:r>
    </w:p>
    <w:p>
      <w:pPr>
        <w:pStyle w:val="FirstParagraph"/>
      </w:pPr>
      <w:r>
        <w:t xml:space="preserve">This lab report confirms that the standard diagnostic protocols employed by an Optometrist in United Kingdom London are highly effective in identifying both refractive errors and sight-threatening diseases. The findings highlight the dual burden of myopia among younger populations and degenerative conditions among older adults within this specific geographic region.</w:t>
      </w:r>
    </w:p>
    <w:p>
      <w:pPr>
        <w:pStyle w:val="BodyText"/>
      </w:pPr>
      <w:r>
        <w:t xml:space="preserve">It is recommended that healthcare policymakers continue to support funding for optical services within the NHS framework, ensuring accessibility for all residents in United Kingdom London. Regular training updates for Optometrists on emerging technologies will further enhance diagnostic capabilities. Ultimately, the sustained collaboration between Optometrists, ophthalmologists, and primary care physicians is essential to maintain the high standards of eye health observed in this metropolitan hub.</w:t>
      </w:r>
    </w:p>
    <w:bookmarkEnd w:id="29"/>
    <w:p>
      <w:pPr>
        <w:pStyle w:val="BodyText"/>
      </w:pPr>
      <w:r>
        <w:rPr>
          <w:bCs/>
          <w:b/>
        </w:rPr>
        <w:t xml:space="preserve">End of Report</w:t>
      </w:r>
    </w:p>
    <w:p>
      <w:pPr>
        <w:pStyle w:val="BodyText"/>
      </w:pPr>
      <w:r>
        <w:br/>
      </w:r>
    </w:p>
    <w:p>
      <w:pPr>
        <w:pStyle w:val="BodyText"/>
      </w:pPr>
      <w:r>
        <w:t xml:space="preserve">Signed,</w:t>
      </w:r>
      <w:r>
        <w:br/>
      </w:r>
      <w:r>
        <w:t xml:space="preserve">Senior Optometrist</w:t>
      </w:r>
      <w:r>
        <w:br/>
      </w:r>
      <w:r>
        <w:t xml:space="preserve">Clinical Practice Unit,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and Diagnostic Protocols in United Kingdom London: An Optometrist Lab Report</dc:title>
  <dc:creator/>
  <dc:language>en</dc:language>
  <cp:keywords/>
  <dcterms:created xsi:type="dcterms:W3CDTF">2026-07-30T02:24:35Z</dcterms:created>
  <dcterms:modified xsi:type="dcterms:W3CDTF">2026-07-30T02:24:35Z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