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Clinical</w:t>
      </w:r>
      <w:r>
        <w:t xml:space="preserve"> </w:t>
      </w:r>
      <w:r>
        <w:t xml:space="preserve">Lab</w:t>
      </w:r>
      <w:r>
        <w:t xml:space="preserve"> </w:t>
      </w:r>
      <w:r>
        <w:t xml:space="preserve">Report:</w:t>
      </w:r>
      <w:r>
        <w:t xml:space="preserve"> </w:t>
      </w:r>
      <w:r>
        <w:t xml:space="preserve">Optometric</w:t>
      </w:r>
      <w:r>
        <w:t xml:space="preserve"> </w:t>
      </w:r>
      <w:r>
        <w:t xml:space="preserve">Assessment</w:t>
      </w:r>
      <w:r>
        <w:t xml:space="preserve"> </w:t>
      </w:r>
      <w:r>
        <w:t xml:space="preserve">and</w:t>
      </w:r>
      <w:r>
        <w:t xml:space="preserve"> </w:t>
      </w:r>
      <w:r>
        <w:t xml:space="preserve">Diagnostic</w:t>
      </w:r>
      <w:r>
        <w:t xml:space="preserve"> </w:t>
      </w:r>
      <w:r>
        <w:t xml:space="preserve">Analysis</w:t>
      </w:r>
    </w:p>
    <w:bookmarkStart w:id="31" w:name="X1a2e05a6b41c7f4b738f90138fe54c8e052d283"/>
    <w:p>
      <w:pPr>
        <w:pStyle w:val="Heading1"/>
      </w:pPr>
      <w:r>
        <w:t xml:space="preserve">Laboratory Report and Clinical Evaluation Summary</w:t>
      </w:r>
    </w:p>
    <w:p>
      <w:pPr>
        <w:pStyle w:val="FirstParagraph"/>
      </w:pPr>
      <w:r>
        <w:rPr>
          <w:bCs/>
          <w:b/>
        </w:rPr>
        <w:t xml:space="preserve">Institution:</w:t>
      </w:r>
      <w:r>
        <w:t xml:space="preserve"> </w:t>
      </w:r>
      <w:r>
        <w:t xml:space="preserve">Chicago Vision &amp; Optometry Center</w:t>
      </w:r>
    </w:p>
    <w:p>
      <w:pPr>
        <w:pStyle w:val="BodyText"/>
      </w:pPr>
      <w:r>
        <w:rPr>
          <w:bCs/>
          <w:b/>
        </w:rPr>
        <w:t xml:space="preserve">Jurisdiction:</w:t>
      </w:r>
      <w:r>
        <w:t xml:space="preserve"> </w:t>
      </w:r>
      <w:r>
        <w:t xml:space="preserve">United States, State of Illinois (Chicago Metro Area)</w:t>
      </w:r>
    </w:p>
    <w:p>
      <w:pPr>
        <w:pStyle w:val="BodyText"/>
      </w:pPr>
      <w:r>
        <w:rPr>
          <w:bCs/>
          <w:b/>
        </w:rPr>
        <w:t xml:space="preserve">Date of Report:</w:t>
      </w:r>
      <w:r>
        <w:t xml:space="preserve"> </w:t>
      </w:r>
      <w:r>
        <w:t xml:space="preserve">October 24, 2023</w:t>
      </w:r>
    </w:p>
    <w:p>
      <w:pPr>
        <w:pStyle w:val="BodyText"/>
      </w:pPr>
      <w:r>
        <w:rPr>
          <w:bCs/>
          <w:b/>
        </w:rPr>
        <w:t xml:space="preserve">Patient ID:</w:t>
      </w:r>
      <w:r>
        <w:t xml:space="preserve"> </w:t>
      </w:r>
      <w:r>
        <w:t xml:space="preserve">CHI-8992-OPT</w:t>
      </w:r>
    </w:p>
    <w:p>
      <w:pPr>
        <w:pStyle w:val="BodyText"/>
      </w:pPr>
      <w:r>
        <w:rPr>
          <w:bCs/>
          <w:b/>
        </w:rPr>
        <w:t xml:space="preserve">Evaluating Optometrist:</w:t>
      </w:r>
      <w:r>
        <w:t xml:space="preserve"> </w:t>
      </w:r>
      <w:r>
        <w:t xml:space="preserve">Dr. Eleanor Vance, OD, FAAO</w:t>
      </w:r>
    </w:p>
    <w:bookmarkStart w:id="20" w:name="i.-executive-summary-and-introduction"/>
    <w:p>
      <w:pPr>
        <w:pStyle w:val="Heading2"/>
      </w:pPr>
      <w:r>
        <w:t xml:space="preserve">I. Executive Summary and Introduction</w:t>
      </w:r>
    </w:p>
    <w:p>
      <w:pPr>
        <w:pStyle w:val="FirstParagraph"/>
      </w:pPr>
      <w:r>
        <w:t xml:space="preserve">This document serves as the formal Lab Report generated following a comprehensive optometric examination conducted at our facility in Chicago. The purpose of this report is to synthesize clinical data, diagnostic imaging results, and subjective patient history into a coherent medical narrative. As an Optometrist practicing within the United States, specifically in the bustling metropolitan area of Chicago, it is imperative that all diagnostic procedures adhere strictly to both federal guidelines established by the Food and Drug Administration (FDA) and state-specific regulations enforced by the Illinois Department of Financial and Professional Regulation (IDFPR). This report details the visual acuity measurements, refractive errors detected, ocular health assessments, and therapeutic recommendations for Patient CHI-8992-OPT. The integration of advanced diagnostic technology with traditional optometric techniques ensures that the patient receives care that meets the high standards expected by healthcare providers in Chicago.</w:t>
      </w:r>
    </w:p>
    <w:bookmarkEnd w:id="20"/>
    <w:bookmarkStart w:id="22" w:name="X332868acf5046db041a98dcb61ddf365672fcdc"/>
    <w:p>
      <w:pPr>
        <w:pStyle w:val="Heading2"/>
      </w:pPr>
      <w:r>
        <w:t xml:space="preserve">II. Patient History and Subjective Refraction</w:t>
      </w:r>
    </w:p>
    <w:p>
      <w:pPr>
        <w:pStyle w:val="FirstParagraph"/>
      </w:pPr>
      <w:r>
        <w:t xml:space="preserve">The evaluation began with a thorough review of the patient’s medical and ocular history. The patient presented with chief complaints of intermittent headaches, digital eye strain, and blurred distance vision after prolonged screen exposure. In Chicago, where urban lifestyles often involve significant time spent in front of digital devices within heated or air-conditioned environments, dry eye syndrome is a prevalent comorbidity associated with refractive errors.</w:t>
      </w:r>
    </w:p>
    <w:bookmarkStart w:id="21" w:name="subjective-refraction-data"/>
    <w:p>
      <w:pPr>
        <w:pStyle w:val="Heading3"/>
      </w:pPr>
      <w:r>
        <w:t xml:space="preserve">Subjective Refraction Data</w:t>
      </w:r>
    </w:p>
    <w:p>
      <w:pPr>
        <w:pStyle w:val="FirstParagraph"/>
      </w:pPr>
      <w:r>
        <w:t xml:space="preserve">The subjective refraction process involved the use of a phoropter to determine the optimal lens correction. The patient reported improved clarity and comfort with specific cylinder adjustments. This step is critical in our practice as an Optometrist to ensure that the final prescription not only corrects refractive error but also addresses binocular vision issues that may arise from visual stress.</w:t>
      </w:r>
    </w:p>
    <w:p>
      <w:pPr>
        <w:pStyle w:val="BodyText"/>
      </w:pPr>
      <w:r>
        <w:t xml:space="preserve">Ocular Parameter</w:t>
      </w:r>
    </w:p>
    <w:bookmarkEnd w:id="21"/>
    <w:bookmarkEnd w:id="22"/>
    <w:p>
      <w:pPr>
        <w:pStyle w:val="BodyText"/>
      </w:pPr>
      <w:r>
        <w:t xml:space="preserve">Right Eye (OD)</w:t>
      </w:r>
    </w:p>
    <w:p>
      <w:pPr>
        <w:pStyle w:val="BodyText"/>
      </w:pPr>
      <w:r>
        <w:t xml:space="preserve">Left Eye (OS)</w:t>
      </w:r>
    </w:p>
    <w:p>
      <w:pPr>
        <w:pStyle w:val="BodyText"/>
      </w:pPr>
      <w:r>
        <w:br/>
      </w:r>
    </w:p>
    <w:p>
      <w:pPr>
        <w:pStyle w:val="BodyText"/>
      </w:pPr>
      <w:r>
        <w:t xml:space="preserve">&gt;</w:t>
      </w:r>
    </w:p>
    <w:p>
      <w:pPr>
        <w:pStyle w:val="BodyText"/>
      </w:pPr>
      <w:r>
        <w:t xml:space="preserve">&gt;</w:t>
      </w:r>
    </w:p>
    <w:p>
      <w:pPr>
        <w:pStyle w:val="BodyText"/>
      </w:pPr>
      <w:r>
        <w:t xml:space="preserve">Ocular Parameter</w:t>
      </w:r>
    </w:p>
    <w:p>
      <w:pPr>
        <w:pStyle w:val="BodyText"/>
      </w:pPr>
      <w:r>
        <w:t xml:space="preserve">Right Eye (OD)</w:t>
      </w:r>
    </w:p>
    <w:p>
      <w:pPr>
        <w:pStyle w:val="BodyText"/>
      </w:pPr>
      <w:r>
        <w:t xml:space="preserve">Left Eye (OS)</w:t>
      </w:r>
    </w:p>
    <w:p>
      <w:pPr>
        <w:pStyle w:val="BodyText"/>
      </w:pPr>
      <w:r>
        <w:br/>
      </w:r>
    </w:p>
    <w:p>
      <w:pPr>
        <w:pStyle w:val="BodyText"/>
      </w:pPr>
      <w:r>
        <w:t xml:space="preserve">&gt;</w:t>
      </w:r>
    </w:p>
    <w:p>
      <w:pPr>
        <w:pStyle w:val="BodyText"/>
      </w:pPr>
      <w:r>
        <w:t xml:space="preserve">&gt;</w:t>
      </w:r>
    </w:p>
    <w:p>
      <w:pPr>
        <w:pStyle w:val="BodyText"/>
      </w:pPr>
      <w:r>
        <w:t xml:space="preserve">&gt;</w:t>
      </w:r>
    </w:p>
    <w:p>
      <w:pPr>
        <w:pStyle w:val="BodyText"/>
      </w:pPr>
      <w:r>
        <w:t xml:space="preserve">Parameter</w:t>
      </w:r>
    </w:p>
    <w:p>
      <w:pPr>
        <w:pStyle w:val="BodyText"/>
      </w:pPr>
      <w:r>
        <w:t xml:space="preserve">Right Eye (OD)</w:t>
      </w:r>
    </w:p>
    <w:p>
      <w:pPr>
        <w:pStyle w:val="BodyText"/>
      </w:pPr>
      <w:r>
        <w:t xml:space="preserve">Left Eye (OS)</w:t>
      </w:r>
    </w:p>
    <w:p>
      <w:pPr>
        <w:pStyle w:val="BodyText"/>
      </w:pPr>
      <w:r>
        <w:t xml:space="preserve">&gt;</w:t>
      </w:r>
    </w:p>
    <w:p>
      <w:pPr>
        <w:pStyle w:val="BodyText"/>
      </w:pPr>
      <w:r>
        <w:t xml:space="preserve">&gt;</w:t>
      </w:r>
    </w:p>
    <w:p>
      <w:pPr>
        <w:pStyle w:val="BodyText"/>
      </w:pPr>
      <w:r>
        <w:t xml:space="preserve">&gt;</w:t>
      </w:r>
    </w:p>
    <w:p>
      <w:pPr>
        <w:pStyle w:val="BodyText"/>
      </w:pPr>
      <w:r>
        <w:t xml:space="preserve">&gt;</w:t>
      </w:r>
    </w:p>
    <w:p>
      <w:pPr>
        <w:pStyle w:val="BodyText"/>
      </w:pPr>
      <w:r>
        <w:t xml:space="preserve">Metric</w:t>
      </w:r>
    </w:p>
    <w:p>
      <w:pPr>
        <w:pStyle w:val="BodyText"/>
      </w:pPr>
      <w:r>
        <w:t xml:space="preserve">Right Eye (OD)</w:t>
      </w:r>
    </w:p>
    <w:p>
      <w:pPr>
        <w:pStyle w:val="BodyText"/>
      </w:pPr>
      <w:r>
        <w:t xml:space="preserve">Left Eye (OS)</w:t>
      </w:r>
    </w:p>
    <w:p>
      <w:pPr>
        <w:pStyle w:val="BodyText"/>
      </w:pPr>
      <w:r>
        <w:t xml:space="preserve">&gt;</w:t>
      </w:r>
    </w:p>
    <w:p>
      <w:pPr>
        <w:pStyle w:val="BodyText"/>
      </w:pPr>
      <w:r>
        <w:t xml:space="preserve">&gt;</w:t>
      </w:r>
    </w:p>
    <w:p>
      <w:pPr>
        <w:pStyle w:val="BodyText"/>
      </w:pPr>
      <w:r>
        <w:t xml:space="preserve">&gt;</w:t>
      </w:r>
    </w:p>
    <w:p>
      <w:pPr>
        <w:pStyle w:val="BodyText"/>
      </w:pPr>
      <w:r>
        <w:t xml:space="preserve">&gt;</w:t>
      </w:r>
    </w:p>
    <w:p>
      <w:pPr>
        <w:pStyle w:val="BodyText"/>
      </w:pPr>
      <w:r>
        <w:t xml:space="preserve">Sphere (SPH)</w:t>
      </w:r>
    </w:p>
    <w:p>
      <w:pPr>
        <w:pStyle w:val="BodyText"/>
      </w:pPr>
      <w:r>
        <w:t xml:space="preserve">-2.50 D</w:t>
      </w:r>
    </w:p>
    <w:p>
      <w:pPr>
        <w:pStyle w:val="BodyText"/>
      </w:pPr>
      <w:r>
        <w:t xml:space="preserve">-2.75 D</w:t>
      </w:r>
    </w:p>
    <w:p>
      <w:pPr>
        <w:pStyle w:val="BodyText"/>
      </w:pPr>
      <w:r>
        <w:t xml:space="preserve">&gt;</w:t>
      </w:r>
    </w:p>
    <w:p>
      <w:pPr>
        <w:pStyle w:val="BodyText"/>
      </w:pPr>
      <w:r>
        <w:t xml:space="preserve">&gt;</w:t>
      </w:r>
    </w:p>
    <w:p>
      <w:pPr>
        <w:pStyle w:val="BodyText"/>
      </w:pPr>
      <w:r>
        <w:t xml:space="preserve">Cylinder (CYL)</w:t>
      </w:r>
    </w:p>
    <w:p>
      <w:pPr>
        <w:pStyle w:val="BodyText"/>
      </w:pPr>
      <w:r>
        <w:t xml:space="preserve">-0.75 D</w:t>
      </w:r>
    </w:p>
    <w:p>
      <w:pPr>
        <w:pStyle w:val="BodyText"/>
      </w:pPr>
      <w:r>
        <w:t xml:space="preserve">-0.50 D</w:t>
      </w:r>
    </w:p>
    <w:p>
      <w:pPr>
        <w:pStyle w:val="BodyText"/>
      </w:pPr>
      <w:r>
        <w:t xml:space="preserve">&gt;</w:t>
      </w:r>
    </w:p>
    <w:p>
      <w:pPr>
        <w:pStyle w:val="BodyText"/>
      </w:pPr>
      <w:r>
        <w:t xml:space="preserve">&gt;</w:t>
      </w:r>
    </w:p>
    <w:p>
      <w:pPr>
        <w:pStyle w:val="BodyText"/>
      </w:pPr>
      <w:r>
        <w:t xml:space="preserve">Axis</w:t>
      </w:r>
    </w:p>
    <w:p>
      <w:pPr>
        <w:pStyle w:val="BodyText"/>
      </w:pPr>
      <w:r>
        <w:t xml:space="preserve">180°</w:t>
      </w:r>
    </w:p>
    <w:p>
      <w:pPr>
        <w:pStyle w:val="BodyText"/>
      </w:pPr>
      <w:r>
        <w:t xml:space="preserve">25°</w:t>
      </w:r>
    </w:p>
    <w:p>
      <w:pPr>
        <w:pStyle w:val="BodyText"/>
      </w:pPr>
      <w:r>
        <w:t xml:space="preserve">&gt;</w:t>
      </w:r>
    </w:p>
    <w:p>
      <w:pPr>
        <w:pStyle w:val="BodyText"/>
      </w:pPr>
      <w:r>
        <w:t xml:space="preserve">&gt;</w:t>
      </w:r>
    </w:p>
    <w:p>
      <w:pPr>
        <w:pStyle w:val="BodyText"/>
      </w:pPr>
      <w:r>
        <w:t xml:space="preserve">Visual Acuity (Uncorrected)</w:t>
      </w:r>
    </w:p>
    <w:p>
      <w:pPr>
        <w:pStyle w:val="BodyText"/>
      </w:pPr>
      <w:r>
        <w:t xml:space="preserve">20/50</w:t>
      </w:r>
    </w:p>
    <w:p>
      <w:pPr>
        <w:pStyle w:val="BodyText"/>
      </w:pPr>
      <w:r>
        <w:t xml:space="preserve">20/45</w:t>
      </w:r>
    </w:p>
    <w:p>
      <w:pPr>
        <w:pStyle w:val="BodyText"/>
      </w:pPr>
      <w:r>
        <w:t xml:space="preserve">&gt;</w:t>
      </w:r>
    </w:p>
    <w:p>
      <w:pPr>
        <w:pStyle w:val="BodyText"/>
      </w:pPr>
      <w:r>
        <w:t xml:space="preserve">&gt;</w:t>
      </w:r>
    </w:p>
    <w:p>
      <w:pPr>
        <w:pStyle w:val="BodyText"/>
      </w:pPr>
      <w:r>
        <w:t xml:space="preserve">Visual Acuity (Corrected)</w:t>
      </w:r>
    </w:p>
    <w:p>
      <w:pPr>
        <w:pStyle w:val="BodyText"/>
      </w:pPr>
      <w:r>
        <w:t xml:space="preserve">20/20</w:t>
      </w:r>
    </w:p>
    <w:p>
      <w:pPr>
        <w:pStyle w:val="BodyText"/>
      </w:pPr>
      <w:r>
        <w:t xml:space="preserve">20/20</w:t>
      </w:r>
    </w:p>
    <w:p>
      <w:pPr>
        <w:pStyle w:val="BodyText"/>
      </w:pPr>
      <w:r>
        <w:t xml:space="preserve">&gt;</w:t>
      </w:r>
    </w:p>
    <w:p>
      <w:pPr>
        <w:pStyle w:val="BodyText"/>
      </w:pPr>
      <w:r>
        <w:t xml:space="preserve">&gt;</w:t>
      </w:r>
    </w:p>
    <w:p>
      <w:pPr>
        <w:pStyle w:val="BodyText"/>
      </w:pPr>
      <w:r>
        <w:t xml:space="preserve">&gt;</w:t>
      </w:r>
    </w:p>
    <w:bookmarkStart w:id="26" w:name="X13a583f1ec58d3873afb1a1ce11a19b5cef4dbc"/>
    <w:p>
      <w:pPr>
        <w:pStyle w:val="Heading2"/>
      </w:pPr>
      <w:r>
        <w:t xml:space="preserve">III. Objective Diagnostic Laboratory Analysis</w:t>
      </w:r>
    </w:p>
    <w:p>
      <w:pPr>
        <w:pStyle w:val="FirstParagraph"/>
      </w:pPr>
      <w:r>
        <w:t xml:space="preserve">The "Lab" aspect of this optometric examination involves rigorous objective testing to validate subjective findings. In Chicago, where air quality can fluctuate significantly due to seasonal weather patterns and urban density, the tear film stability is a key metric analyzed in our laboratory-style diagnostic suite.</w:t>
      </w:r>
    </w:p>
    <w:bookmarkStart w:id="23" w:name="a.-non-invasive-tear-break-up-time-nibut"/>
    <w:p>
      <w:pPr>
        <w:pStyle w:val="Heading3"/>
      </w:pPr>
      <w:r>
        <w:t xml:space="preserve">A. Non-Invasive Tear Break-Up Time (NIBUT)</w:t>
      </w:r>
    </w:p>
    <w:p>
      <w:pPr>
        <w:pStyle w:val="FirstParagraph"/>
      </w:pPr>
      <w:r>
        <w:t xml:space="preserve">The NIBUT was measured using automated interferometry. The results indicated a break-up time of 8 seconds, which falls within the lower limit of normal physiological function. This suggests mild evaporative dry eye disease, likely exacerbated by environmental factors common in Chicago office buildings with aggressive HVAC systems. As an Optometrist, I noted this finding as it directly impacts patient comfort and contact lens tolerance.</w:t>
      </w:r>
    </w:p>
    <w:bookmarkEnd w:id="23"/>
    <w:bookmarkStart w:id="24" w:name="b.-intraocular-pressure-iop-tonometry"/>
    <w:p>
      <w:pPr>
        <w:pStyle w:val="Heading3"/>
      </w:pPr>
      <w:r>
        <w:t xml:space="preserve">B. Intraocular Pressure (IOP) Tonometry</w:t>
      </w:r>
    </w:p>
    <w:p>
      <w:pPr>
        <w:pStyle w:val="FirstParagraph"/>
      </w:pPr>
      <w:r>
        <w:t xml:space="preserve">Gonioscopy and Goldmann Applanation Tonometry were performed to assess the risk of glaucoma. The IOP readings were 14 mmHg in the Right Eye and 15 mmHg in the Left Eye. These values are well within normal ranges, ruling out ocular hypertension at this stage. This is a critical lab report metric for patients over age 40 or those with a family history of glaucoma, ensuring early detection of optic nerve damage.</w:t>
      </w:r>
    </w:p>
    <w:bookmarkEnd w:id="24"/>
    <w:bookmarkStart w:id="25" w:name="c.-retinal-and-macular-imaging-oct"/>
    <w:p>
      <w:pPr>
        <w:pStyle w:val="Heading3"/>
      </w:pPr>
      <w:r>
        <w:t xml:space="preserve">C. Retinal and Macular Imaging (OCT)</w:t>
      </w:r>
    </w:p>
    <w:p>
      <w:pPr>
        <w:pStyle w:val="FirstParagraph"/>
      </w:pPr>
      <w:r>
        <w:t xml:space="preserve">Optical Coherence Tomography (OCT) scans were obtained to evaluate the retinal nerve fiber layer (RNFL) and macular thickness. The scans revealed no signs of thinning in the RNFL or edema in the macula. The foveal contour is preserved, indicating healthy central vision structure. This objective data corroborates the subjective visual acuity results, confirming that there is no pathological basis for vision loss.</w:t>
      </w:r>
    </w:p>
    <w:bookmarkEnd w:id="25"/>
    <w:bookmarkEnd w:id="26"/>
    <w:bookmarkStart w:id="27" w:name="Xc750b02beb576a383f71942412dbec9010ae790"/>
    <w:p>
      <w:pPr>
        <w:pStyle w:val="Heading2"/>
      </w:pPr>
      <w:r>
        <w:t xml:space="preserve">IV. Clinical Interpretation and Diagnosis</w:t>
      </w:r>
    </w:p>
    <w:p>
      <w:pPr>
        <w:pStyle w:val="FirstParagraph"/>
      </w:pPr>
      <w:r>
        <w:t xml:space="preserve">Synthesizing the data from this comprehensive lab report, the clinical diagnosis is as follows:</w:t>
      </w:r>
    </w:p>
    <w:p>
      <w:pPr>
        <w:pStyle w:val="FirstParagraph"/>
      </w:pPr>
      <w:r>
        <w:t xml:space="preserve">&gt;</w:t>
      </w:r>
    </w:p>
    <w:p>
      <w:pPr>
        <w:numPr>
          <w:ilvl w:val="0"/>
          <w:numId w:val="1002"/>
        </w:numPr>
        <w:pStyle w:val="Compact"/>
      </w:pPr>
      <w:r>
        <w:rPr>
          <w:bCs/>
          <w:b/>
        </w:rPr>
        <w:t xml:space="preserve">Moderate Myopia:</w:t>
      </w:r>
      <w:r>
        <w:t xml:space="preserve"> </w:t>
      </w:r>
      <w:r>
        <w:t xml:space="preserve">Bilateral nearsightedness requiring corrective lenses for distance vision.</w:t>
      </w:r>
    </w:p>
    <w:p>
      <w:pPr>
        <w:numPr>
          <w:ilvl w:val="0"/>
          <w:numId w:val="1002"/>
        </w:numPr>
        <w:pStyle w:val="Compact"/>
      </w:pPr>
      <w:r>
        <w:rPr>
          <w:bCs/>
          <w:b/>
        </w:rPr>
        <w:t xml:space="preserve">Astigmatism:</w:t>
      </w:r>
      <w:r>
        <w:t xml:space="preserve"> </w:t>
      </w:r>
      <w:r>
        <w:t xml:space="preserve">With-the-rule astigmatism, contributing to the cylindrical correction required.</w:t>
      </w:r>
    </w:p>
    <w:p>
      <w:pPr>
        <w:numPr>
          <w:ilvl w:val="0"/>
          <w:numId w:val="1002"/>
        </w:numPr>
        <w:pStyle w:val="Compact"/>
      </w:pPr>
      <w:r>
        <w:rPr>
          <w:bCs/>
          <w:b/>
        </w:rPr>
        <w:t xml:space="preserve">Mild Dry Eye Disease (MEDD):</w:t>
      </w:r>
      <w:r>
        <w:t xml:space="preserve"> </w:t>
      </w:r>
      <w:r>
        <w:t xml:space="preserve">Evaporative type, likely secondary to environmental exposure in Chicago urban centers.</w:t>
      </w:r>
    </w:p>
    <w:p>
      <w:pPr>
        <w:pStyle w:val="FirstParagraph"/>
      </w:pPr>
      <w:r>
        <w:t xml:space="preserve">&gt;</w:t>
      </w:r>
    </w:p>
    <w:bookmarkEnd w:id="27"/>
    <w:bookmarkStart w:id="28" w:name="v.-recommendations-and-treatment-plan"/>
    <w:p>
      <w:pPr>
        <w:pStyle w:val="Heading2"/>
      </w:pPr>
      <w:r>
        <w:t xml:space="preserve">V. Recommendations and Treatment Plan</w:t>
      </w:r>
    </w:p>
    <w:p>
      <w:pPr>
        <w:pStyle w:val="FirstParagraph"/>
      </w:pPr>
      <w:r>
        <w:t xml:space="preserve">Based on the findings of this optometric lab report, the following treatment plan is prescribed:</w:t>
      </w:r>
    </w:p>
    <w:p>
      <w:pPr>
        <w:pStyle w:val="BodyText"/>
      </w:pPr>
      <w:r>
        <w:t xml:space="preserve">&gt;</w:t>
      </w:r>
    </w:p>
    <w:p>
      <w:pPr>
        <w:numPr>
          <w:ilvl w:val="0"/>
          <w:numId w:val="1003"/>
        </w:numPr>
        <w:pStyle w:val="Compact"/>
      </w:pPr>
      <w:r>
        <w:rPr>
          <w:bCs/>
          <w:b/>
        </w:rPr>
        <w:t xml:space="preserve">Prescription Correction:</w:t>
      </w:r>
      <w:r>
        <w:t xml:space="preserve"> </w:t>
      </w:r>
      <w:r>
        <w:t xml:space="preserve">Patients are advised to wear full-time corrective lenses (spectacles or toric contact lenses) as per the refraction data provided above. This will address the myopia and astigmatism, improving quality of life and reducing visual fatigue.</w:t>
      </w:r>
    </w:p>
    <w:p>
      <w:pPr>
        <w:numPr>
          <w:ilvl w:val="0"/>
          <w:numId w:val="1003"/>
        </w:numPr>
        <w:pStyle w:val="Compact"/>
      </w:pPr>
      <w:r>
        <w:rPr>
          <w:bCs/>
          <w:b/>
        </w:rPr>
        <w:t xml:space="preserve">Dry Eye Management:</w:t>
      </w:r>
      <w:r>
        <w:t xml:space="preserve"> </w:t>
      </w:r>
      <w:r>
        <w:t xml:space="preserve">Given the clinical context of Chicago’s climate, artificial tears containing hyaluronic acid are recommended for use up to four times daily. Patients should be advised to practice the "20-20-20" rule (every 20 minutes, look at something 20 feet away for 20 seconds) to reduce digital eye strain and improve blink rate.</w:t>
      </w:r>
    </w:p>
    <w:p>
      <w:pPr>
        <w:numPr>
          <w:ilvl w:val="0"/>
          <w:numId w:val="1003"/>
        </w:numPr>
        <w:pStyle w:val="Compact"/>
      </w:pPr>
      <w:r>
        <w:rPr>
          <w:bCs/>
          <w:b/>
        </w:rPr>
        <w:t xml:space="preserve">Follow-Up:</w:t>
      </w:r>
      <w:r>
        <w:t xml:space="preserve"> </w:t>
      </w:r>
      <w:r>
        <w:t xml:space="preserve">A follow-up appointment is scheduled in six months to monitor IOP and assess the efficacy of the dry eye treatment. Early intervention is key to preventing progression in ocular health, a standard of care emphasized by optometrists across the United States.</w:t>
      </w:r>
    </w:p>
    <w:p>
      <w:pPr>
        <w:pStyle w:val="FirstParagraph"/>
      </w:pPr>
      <w:r>
        <w:t xml:space="preserve">&gt;</w:t>
      </w:r>
    </w:p>
    <w:bookmarkEnd w:id="28"/>
    <w:bookmarkStart w:id="29" w:name="vi.-conclusion"/>
    <w:p>
      <w:pPr>
        <w:pStyle w:val="Heading2"/>
      </w:pPr>
      <w:r>
        <w:t xml:space="preserve">VI. Conclusion</w:t>
      </w:r>
    </w:p>
    <w:p>
      <w:pPr>
        <w:pStyle w:val="FirstParagraph"/>
      </w:pPr>
      <w:r>
        <w:t xml:space="preserve">This Lab Report serves as a comprehensive documentation of the patient’s current optical and ocular health status. As an Optometrist practicing in Chicago, Illinois, within the United States healthcare framework, the integration of precise diagnostic laboratory tests with clinical expertise is paramount. The data collected confirms that while refractive errors are present, they are manageable with standard corrective measures. Furthermore, early signs of dry eye disease have been identified and addressed proactively. This report underscores the importance of regular comprehensive eye exams in maintaining long-term visual health and preventing irreversible ocular pathology.</w:t>
      </w:r>
    </w:p>
    <w:p>
      <w:pPr>
        <w:pStyle w:val="BodyText"/>
      </w:pPr>
      <w:r>
        <w:t xml:space="preserve">&gt;</w:t>
      </w:r>
    </w:p>
    <w:p>
      <w:pPr>
        <w:pStyle w:val="BodyText"/>
      </w:pPr>
      <w:r>
        <w:t xml:space="preserve">By adhering to these rigorous diagnostic standards, we ensure that every patient in Chicago receives the highest quality of care, tailored to their specific physiological needs and environmental challenges.</w:t>
      </w:r>
    </w:p>
    <w:p>
      <w:pPr>
        <w:pStyle w:val="BodyText"/>
      </w:pPr>
      <w:r>
        <w:t xml:space="preserve">&gt;</w:t>
      </w:r>
    </w:p>
    <w:bookmarkEnd w:id="29"/>
    <w:p>
      <w:pPr>
        <w:pStyle w:val="BodyText"/>
      </w:pPr>
      <w:r>
        <w:t xml:space="preserve">&gt;</w:t>
      </w:r>
    </w:p>
    <w:bookmarkStart w:id="30" w:name="vii.-certification"/>
    <w:p>
      <w:pPr>
        <w:pStyle w:val="Heading2"/>
      </w:pPr>
      <w:r>
        <w:t xml:space="preserve">VII. Certification</w:t>
      </w:r>
    </w:p>
    <w:p>
      <w:pPr>
        <w:pStyle w:val="FirstParagraph"/>
      </w:pPr>
      <w:r>
        <w:t xml:space="preserve">I certify that the information contained in this Lab Report is true, accurate, and reflects the clinical findings of my examination as an Optometrist licensed to practice in Illinois.</w:t>
      </w:r>
    </w:p>
    <w:p>
      <w:pPr>
        <w:pStyle w:val="BodyText"/>
      </w:pPr>
      <w:r>
        <w:t xml:space="preserve">&gt;</w:t>
      </w:r>
      <w:r>
        <w:br/>
      </w:r>
      <w:r>
        <w:br/>
      </w:r>
      <w:r>
        <w:t xml:space="preserve">____________________________</w:t>
      </w:r>
      <w:r>
        <w:br/>
      </w:r>
      <w:r>
        <w:t xml:space="preserve">Dr. Eleanor Vance, OD</w:t>
      </w:r>
      <w:r>
        <w:br/>
      </w:r>
      <w:r>
        <w:t xml:space="preserve">Chicago Vision &amp; Optometry Center</w:t>
      </w:r>
      <w:r>
        <w:br/>
      </w:r>
      <w:r>
        <w:t xml:space="preserve">License No: 012-345678 (Illinois State Board of Examiners)</w:t>
      </w:r>
      <w:r>
        <w:br/>
      </w:r>
    </w:p>
    <w:p>
      <w:pPr>
        <w:pStyle w:val="BodyText"/>
      </w:pPr>
      <w:r>
        <w:t xml:space="preserve">&gt;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Clinical Lab Report: Optometric Assessment and Diagnostic Analysis</dc:title>
  <dc:creator/>
  <cp:keywords/>
  <dcterms:created xsi:type="dcterms:W3CDTF">2026-07-29T14:25:49Z</dcterms:created>
  <dcterms:modified xsi:type="dcterms:W3CDTF">2026-07-29T14:25:49Z</dcterms:modified>
</cp:coreProperties>
</file>

<file path=docProps/custom.xml><?xml version="1.0" encoding="utf-8"?>
<Properties xmlns="http://schemas.openxmlformats.org/officeDocument/2006/custom-properties" xmlns:vt="http://schemas.openxmlformats.org/officeDocument/2006/docPropsVTypes"/>
</file>