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Clinical</w:t>
      </w:r>
      <w:r>
        <w:t xml:space="preserve"> </w:t>
      </w:r>
      <w:r>
        <w:t xml:space="preserve">Lab</w:t>
      </w:r>
      <w:r>
        <w:t xml:space="preserve"> </w:t>
      </w:r>
      <w:r>
        <w:t xml:space="preserve">Report:</w:t>
      </w:r>
      <w:r>
        <w:t xml:space="preserve"> </w:t>
      </w:r>
      <w:r>
        <w:t xml:space="preserve">Optometric</w:t>
      </w:r>
      <w:r>
        <w:t xml:space="preserve"> </w:t>
      </w:r>
      <w:r>
        <w:t xml:space="preserve">Evaluation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clinical-laboratory-report"/>
    <w:p>
      <w:pPr>
        <w:pStyle w:val="Heading1"/>
      </w:pPr>
      <w:r>
        <w:t xml:space="preserve">Clinical Laboratory Report</w:t>
      </w:r>
    </w:p>
    <w:p>
      <w:pPr>
        <w:pStyle w:val="FirstParagraph"/>
      </w:pPr>
      <w:r>
        <w:rPr>
          <w:bCs/>
          <w:b/>
        </w:rPr>
        <w:t xml:space="preserve">Patient ID:</w:t>
      </w:r>
      <w:r>
        <w:t xml:space="preserve"> </w:t>
      </w:r>
      <w:r>
        <w:t xml:space="preserve">NYC-2023-8940-B</w:t>
      </w:r>
      <w:r>
        <w:br/>
      </w:r>
      <w:r>
        <w:rPr>
          <w:bCs/>
          <w:b/>
        </w:rPr>
        <w:t xml:space="preserve">Date of Service:</w:t>
      </w:r>
      <w:r>
        <w:t xml:space="preserve"> </w:t>
      </w:r>
      <w:r>
        <w:t xml:space="preserve">October 24, 2023</w:t>
      </w:r>
      <w:r>
        <w:br/>
      </w:r>
      <w:r>
        <w:rPr>
          <w:bCs/>
          <w:b/>
        </w:rPr>
        <w:t xml:space="preserve">Clinician Name:</w:t>
      </w:r>
      <w:r>
        <w:t xml:space="preserve"> </w:t>
      </w:r>
      <w:r>
        <w:t xml:space="preserve">Dr. Elena Rodriguez, OD, FAAO</w:t>
      </w:r>
      <w:r>
        <w:br/>
      </w:r>
      <w:r>
        <w:rPr>
          <w:bCs/>
          <w:b/>
        </w:rPr>
        <w:t xml:space="preserve">Clinic Location:</w:t>
      </w:r>
      <w:r>
        <w:t xml:space="preserve"> </w:t>
      </w:r>
      <w:r>
        <w:t xml:space="preserve">Manhattan Optometric Center, United States New York City</w:t>
      </w:r>
    </w:p>
    <w:bookmarkEnd w:id="20"/>
    <w:bookmarkStart w:id="31" w:name="patient-demographics-and-referral-source"/>
    <w:p>
      <w:pPr>
        <w:pStyle w:val="Heading1"/>
      </w:pPr>
      <w:r>
        <w:t xml:space="preserve">Patient Demographics and Referral Source</w:t>
      </w:r>
    </w:p>
    <w:p>
      <w:pPr>
        <w:pStyle w:val="FirstParagraph"/>
      </w:pPr>
      <w:r>
        <w:br/>
      </w:r>
    </w:p>
    <w:p>
      <w:pPr>
        <w:pStyle w:val="BodyText"/>
      </w:pPr>
      <w:r>
        <w:rPr>
          <w:bCs/>
          <w:b/>
        </w:rPr>
        <w:t xml:space="preserve">Patient Name:</w:t>
      </w:r>
      <w:r>
        <w:t xml:space="preserve"> </w:t>
      </w:r>
      <w:r>
        <w:t xml:space="preserve">John Doe</w:t>
      </w:r>
      <w:r>
        <w:br/>
      </w:r>
      <w:r>
        <w:rPr>
          <w:bCs/>
          <w:b/>
        </w:rPr>
        <w:t xml:space="preserve">Date of Birth:</w:t>
      </w:r>
      <w:r>
        <w:t xml:space="preserve"> </w:t>
      </w:r>
      <w:r>
        <w:t xml:space="preserve">May 12, 1985 (Age: 38)</w:t>
      </w:r>
      <w:r>
        <w:br/>
      </w:r>
      <w:r>
        <w:rPr>
          <w:bCs/>
          <w:b/>
        </w:rPr>
        <w:t xml:space="preserve">Gender:</w:t>
      </w:r>
      <w:r>
        <w:t xml:space="preserve"> </w:t>
      </w:r>
      <w:r>
        <w:t xml:space="preserve">Male</w:t>
      </w:r>
      <w:r>
        <w:br/>
      </w:r>
      <w:r>
        <w:rPr>
          <w:bCs/>
          <w:b/>
        </w:rPr>
        <w:t xml:space="preserve">Occupation:</w:t>
      </w:r>
      <w:r>
        <w:t xml:space="preserve"> </w:t>
      </w:r>
      <w:r>
        <w:t xml:space="preserve">Software Engineer</w:t>
      </w:r>
    </w:p>
    <w:p>
      <w:pPr>
        <w:pStyle w:val="BodyText"/>
      </w:pPr>
      <w:r>
        <w:br/>
      </w:r>
    </w:p>
    <w:p>
      <w:pPr>
        <w:pStyle w:val="BodyText"/>
      </w:pPr>
      <w:r>
        <w:rPr>
          <w:bCs/>
          <w:b/>
        </w:rPr>
        <w:t xml:space="preserve">Reason for Visit (Chief Complaint):</w:t>
      </w:r>
    </w:p>
    <w:p>
      <w:pPr>
        <w:pStyle w:val="BodyText"/>
      </w:pPr>
      <w:r>
        <w:br/>
      </w:r>
    </w:p>
    <w:p>
      <w:pPr>
        <w:pStyle w:val="BodyText"/>
      </w:pPr>
      <w:r>
        <w:t xml:space="preserve">The patient presented to the clinic in United States New York City with complaints of persistent ocular fatigue, intermittent blurred distance vision, and mild frontal headaches following prolonged periods of computer use. The patient noted that symptoms typically worsen by late afternoon. There is no history of recent trauma or sudden vision loss.</w:t>
      </w:r>
    </w:p>
    <w:p>
      <w:pPr>
        <w:pStyle w:val="BodyText"/>
      </w:pPr>
      <w:r>
        <w:br/>
      </w:r>
    </w:p>
    <w:bookmarkStart w:id="21" w:name="relevant-medical-history"/>
    <w:p>
      <w:pPr>
        <w:pStyle w:val="Heading2"/>
      </w:pPr>
      <w:r>
        <w:t xml:space="preserve">Relevant Medical History</w:t>
      </w:r>
    </w:p>
    <w:p>
      <w:pPr>
        <w:pStyle w:val="FirstParagraph"/>
      </w:pPr>
      <w:r>
        <w:br/>
      </w:r>
    </w:p>
    <w:p>
      <w:pPr>
        <w:pStyle w:val="BodyText"/>
      </w:pPr>
      <w:r>
        <w:t xml:space="preserve">The patient reports a generally healthy medical status with no significant systemic diseases such as diabetes or hypertension, which are critical factors in ocular health assessment within the diverse demographic of United States New York City. Current medications include a multivitamin and occasional ibuprofen for tension headaches. There is no known drug allergies (NKDA). The patient denies any family history of glaucoma or macular degeneration but reports that his father wears corrective lenses for presbyopia.</w:t>
      </w:r>
    </w:p>
    <w:p>
      <w:pPr>
        <w:pStyle w:val="BodyText"/>
      </w:pPr>
      <w:r>
        <w:br/>
      </w:r>
    </w:p>
    <w:bookmarkEnd w:id="21"/>
    <w:bookmarkStart w:id="22" w:name="subjective-data-collection"/>
    <w:p>
      <w:pPr>
        <w:pStyle w:val="Heading2"/>
      </w:pPr>
      <w:r>
        <w:t xml:space="preserve">Subjective Data Collection</w:t>
      </w:r>
    </w:p>
    <w:p>
      <w:pPr>
        <w:pStyle w:val="FirstParagraph"/>
      </w:pPr>
      <w:r>
        <w:br/>
      </w:r>
    </w:p>
    <w:p>
      <w:pPr>
        <w:pStyle w:val="BodyText"/>
      </w:pPr>
      <w:r>
        <w:t xml:space="preserve">The subjective evaluation began with a detailed interview regarding the patient's visual demands. As a software engineer working in a high-paced environment in United States New York City, the patient spends approximately eight to ten hours daily staring at digital screens. He reported experiencing dryness and grittiness in both eyes, suggestive of Computer Vision Syndrome (CVS) or Digital Eye Strain.</w:t>
      </w:r>
    </w:p>
    <w:p>
      <w:pPr>
        <w:pStyle w:val="BodyText"/>
      </w:pPr>
      <w:r>
        <w:br/>
      </w:r>
    </w:p>
    <w:p>
      <w:pPr>
        <w:pStyle w:val="BodyText"/>
      </w:pPr>
      <w:r>
        <w:t xml:space="preserve">Binocular vision symptoms were also assessed. The patient denied diplopia (double vision), photophobia, or halos around lights at night. However, he admitted to occasional difficulty focusing when shifting his gaze from the computer monitor to distant objects across the room. This cycloplegic fatigue suggests accommodative insufficiency or spasms secondary to sustained near work.</w:t>
      </w:r>
    </w:p>
    <w:p>
      <w:pPr>
        <w:pStyle w:val="BodyText"/>
      </w:pPr>
      <w:r>
        <w:br/>
      </w:r>
    </w:p>
    <w:bookmarkEnd w:id="22"/>
    <w:bookmarkStart w:id="24" w:name="objective-data-preliminary-tests"/>
    <w:p>
      <w:pPr>
        <w:pStyle w:val="Heading2"/>
      </w:pPr>
      <w:r>
        <w:t xml:space="preserve">Objective Data: Preliminary Tests</w:t>
      </w:r>
    </w:p>
    <w:p>
      <w:pPr>
        <w:pStyle w:val="FirstParagraph"/>
      </w:pPr>
      <w:r>
        <w:br/>
      </w:r>
    </w:p>
    <w:p>
      <w:pPr>
        <w:pStyle w:val="BodyText"/>
      </w:pPr>
      <w:r>
        <w:rPr>
          <w:bCs/>
          <w:b/>
        </w:rPr>
        <w:t xml:space="preserve">Visual Acuity (Uncorrected):</w:t>
      </w:r>
    </w:p>
    <w:p>
      <w:pPr>
        <w:pStyle w:val="BodyText"/>
      </w:pPr>
      <w:r>
        <w:br/>
      </w:r>
    </w:p>
    <w:p>
      <w:pPr>
        <w:numPr>
          <w:ilvl w:val="0"/>
          <w:numId w:val="1001"/>
        </w:numPr>
        <w:pStyle w:val="Compact"/>
      </w:pPr>
      <w:r>
        <w:t xml:space="preserve">Right Eye (OD): 20/30</w:t>
      </w:r>
    </w:p>
    <w:p>
      <w:pPr>
        <w:numPr>
          <w:ilvl w:val="0"/>
          <w:numId w:val="1001"/>
        </w:numPr>
        <w:pStyle w:val="Compact"/>
      </w:pPr>
      <w:r>
        <w:t xml:space="preserve">Left Eye (OS): 20/25</w:t>
      </w:r>
    </w:p>
    <w:p>
      <w:pPr>
        <w:pStyle w:val="FirstParagraph"/>
      </w:pPr>
      <w:r>
        <w:br/>
      </w:r>
    </w:p>
    <w:p>
      <w:pPr>
        <w:pStyle w:val="BodyText"/>
      </w:pPr>
      <w:r>
        <w:rPr>
          <w:bCs/>
          <w:b/>
        </w:rPr>
        <w:t xml:space="preserve">Pupillary Examination:</w:t>
      </w:r>
    </w:p>
    <w:p>
      <w:pPr>
        <w:pStyle w:val="BodyText"/>
      </w:pPr>
      <w:r>
        <w:br/>
      </w:r>
    </w:p>
    <w:p>
      <w:pPr>
        <w:pStyle w:val="BodyText"/>
      </w:pPr>
      <w:r>
        <w:t xml:space="preserve">Pupils were round, equal, and reactive to light and accommodation (PERRLA). No afferent pupillary defect was noted. The intraocular pressure (IOP) was measured using Goldmann Applanation Tonometry.</w:t>
      </w:r>
    </w:p>
    <w:p>
      <w:pPr>
        <w:pStyle w:val="BodyText"/>
      </w:pPr>
      <w:r>
        <w:br/>
      </w:r>
    </w:p>
    <w:p>
      <w:pPr>
        <w:pStyle w:val="BodyText"/>
      </w:pPr>
      <w:r>
        <w:rPr>
          <w:bCs/>
          <w:b/>
        </w:rPr>
        <w:t xml:space="preserve">Intraocular Pressure:</w:t>
      </w:r>
    </w:p>
    <w:p>
      <w:pPr>
        <w:pStyle w:val="BodyText"/>
      </w:pPr>
      <w:r>
        <w:br/>
      </w:r>
    </w:p>
    <w:p>
      <w:pPr>
        <w:numPr>
          <w:ilvl w:val="0"/>
          <w:numId w:val="1002"/>
        </w:numPr>
        <w:pStyle w:val="Compact"/>
      </w:pPr>
      <w:r>
        <w:t xml:space="preserve">Right Eye: 14 mmHg</w:t>
      </w:r>
    </w:p>
    <w:p>
      <w:pPr>
        <w:numPr>
          <w:ilvl w:val="0"/>
          <w:numId w:val="1002"/>
        </w:numPr>
        <w:pStyle w:val="Compact"/>
      </w:pPr>
      <w:r>
        <w:t xml:space="preserve">Left Eye: 15 mmHg</w:t>
      </w:r>
    </w:p>
    <w:p>
      <w:pPr>
        <w:pStyle w:val="FirstParagraph"/>
      </w:pPr>
      <w:r>
        <w:br/>
      </w:r>
    </w:p>
    <w:p>
      <w:pPr>
        <w:pStyle w:val="BodyText"/>
      </w:pPr>
      <w:r>
        <w:t xml:space="preserve">The IOP values fall within the normal range (10-21 mmHg), which is a crucial baseline for glaucoma screening, particularly given the epidemiological risk factors associated with various ethnicities in United States New York City. Although this patient does not have high-risk demographics for glaucoma, regular monitoring is standard protocol.</w:t>
      </w:r>
    </w:p>
    <w:p>
      <w:pPr>
        <w:pStyle w:val="BodyText"/>
      </w:pPr>
      <w:r>
        <w:br/>
      </w:r>
    </w:p>
    <w:bookmarkStart w:id="23" w:name="slit-lamp-biomicroscopy"/>
    <w:p>
      <w:pPr>
        <w:pStyle w:val="Heading3"/>
      </w:pPr>
      <w:r>
        <w:t xml:space="preserve">Slit-Lamp Biomicroscopy</w:t>
      </w:r>
    </w:p>
    <w:p>
      <w:pPr>
        <w:pStyle w:val="FirstParagraph"/>
      </w:pPr>
      <w:r>
        <w:br/>
      </w:r>
    </w:p>
    <w:p>
      <w:pPr>
        <w:pStyle w:val="BodyText"/>
      </w:pPr>
      <w:r>
        <w:t xml:space="preserve">The anterior segment examination was performed using a slit-lamp biomicroscope. The lids and lashes were unremarkable with no blepharitis or crusting. Lash length and distribution were normal. The conjunctiva was clear without injection, chemosis, or follicles.</w:t>
      </w:r>
    </w:p>
    <w:p>
      <w:pPr>
        <w:pStyle w:val="BodyText"/>
      </w:pPr>
      <w:r>
        <w:br/>
      </w:r>
    </w:p>
    <w:p>
      <w:pPr>
        <w:pStyle w:val="BodyText"/>
      </w:pPr>
      <w:r>
        <w:t xml:space="preserve">The cornea was transparent with intact epithelium; no infiltrates, edema, or scarring were observed. The anterior chamber depth was adequate and quiet (no cells or flare). The iris pattern showed heterochromia in the left eye (brown) compared to the right eye (hazel), which is a congenital finding and not pathological. No keratic precipitates were present.</w:t>
      </w:r>
    </w:p>
    <w:p>
      <w:pPr>
        <w:pStyle w:val="BodyText"/>
      </w:pPr>
      <w:r>
        <w:br/>
      </w:r>
    </w:p>
    <w:p>
      <w:pPr>
        <w:pStyle w:val="BodyText"/>
      </w:pPr>
      <w:r>
        <w:t xml:space="preserve">The lens was clear in both eyes without evidence of cataract formation. Pupil dilation was not required for posterior segment examination due to the clarity of the media, but retroillumination confirmed no opacities.</w:t>
      </w:r>
    </w:p>
    <w:p>
      <w:pPr>
        <w:pStyle w:val="BodyText"/>
      </w:pPr>
      <w:r>
        <w:br/>
      </w:r>
    </w:p>
    <w:bookmarkEnd w:id="23"/>
    <w:bookmarkEnd w:id="24"/>
    <w:bookmarkStart w:id="26" w:name="refraction-and-retinoscopy"/>
    <w:p>
      <w:pPr>
        <w:pStyle w:val="Heading2"/>
      </w:pPr>
      <w:r>
        <w:t xml:space="preserve">Refraction and Retinoscopy</w:t>
      </w:r>
    </w:p>
    <w:p>
      <w:pPr>
        <w:pStyle w:val="FirstParagraph"/>
      </w:pPr>
      <w:r>
        <w:br/>
      </w:r>
    </w:p>
    <w:p>
      <w:pPr>
        <w:pStyle w:val="BodyText"/>
      </w:pPr>
      <w:r>
        <w:t xml:space="preserve">A subjective refraction was performed using a phoropter. The initial sphere/cylinder/axis determination yielded the following results:</w:t>
      </w:r>
    </w:p>
    <w:p>
      <w:pPr>
        <w:pStyle w:val="BodyText"/>
      </w:pPr>
      <w:r>
        <w:br/>
      </w:r>
    </w:p>
    <w:p>
      <w:pPr>
        <w:pStyle w:val="BodyText"/>
      </w:pPr>
      <w:r>
        <w:rPr>
          <w:bCs/>
          <w:b/>
        </w:rPr>
        <w:t xml:space="preserve">Right Eye (OD):</w:t>
      </w:r>
    </w:p>
    <w:p>
      <w:pPr>
        <w:numPr>
          <w:ilvl w:val="0"/>
          <w:numId w:val="1003"/>
        </w:numPr>
        <w:pStyle w:val="Compact"/>
      </w:pPr>
      <w:r>
        <w:t xml:space="preserve">Sphere: -0.75 D</w:t>
      </w:r>
    </w:p>
    <w:p>
      <w:pPr>
        <w:numPr>
          <w:ilvl w:val="0"/>
          <w:numId w:val="1003"/>
        </w:numPr>
        <w:pStyle w:val="Compact"/>
      </w:pPr>
      <w:r>
        <w:t xml:space="preserve">Cylinder: -0.25 D @ 180 degrees</w:t>
      </w:r>
    </w:p>
    <w:p>
      <w:pPr>
        <w:numPr>
          <w:ilvl w:val="0"/>
          <w:numId w:val="1003"/>
        </w:numPr>
        <w:pStyle w:val="Compact"/>
      </w:pPr>
      <w:r>
        <w:t xml:space="preserve">Axial Length/Correction consideration for digital strain.</w:t>
      </w:r>
    </w:p>
    <w:p>
      <w:pPr>
        <w:pStyle w:val="FirstParagraph"/>
      </w:pPr>
      <w:r>
        <w:br/>
      </w:r>
    </w:p>
    <w:p>
      <w:pPr>
        <w:pStyle w:val="BodyText"/>
      </w:pPr>
      <w:r>
        <w:rPr>
          <w:bCs/>
          <w:b/>
        </w:rPr>
        <w:t xml:space="preserve">Left Eye (OS):</w:t>
      </w:r>
    </w:p>
    <w:p>
      <w:pPr>
        <w:pStyle w:val="BodyText"/>
      </w:pPr>
      <w:r>
        <w:t xml:space="preserve">Sphere: -1.25 Di&gt;Cylinder: -0.50 D @ 175 degrees</w:t>
      </w:r>
    </w:p>
    <w:p>
      <w:pPr>
        <w:pStyle w:val="BodyText"/>
      </w:pPr>
      <w:r>
        <w:t xml:space="preserve">Axial Length/Correction consideration for digital strain.</w:t>
      </w:r>
    </w:p>
    <w:p>
      <w:pPr>
        <w:pStyle w:val="BodyText"/>
      </w:pPr>
      <w:r>
        <w:rPr>
          <w:iCs/>
          <w:i/>
        </w:rPr>
        <w:t xml:space="preserve">Note: The slight myopic shift is consistent with pseudo-myopia often seen in patients with excessive accommodative demand, common among IT professionals in major metropolitan hubs like United States New York City.</w:t>
      </w:r>
    </w:p>
    <w:p>
      <w:pPr>
        <w:pStyle w:val="BodyText"/>
      </w:pPr>
      <w:r>
        <w:br/>
      </w:r>
    </w:p>
    <w:p>
      <w:pPr>
        <w:pStyle w:val="BodyText"/>
      </w:pPr>
      <w:r>
        <w:t xml:space="preserve">Final best-corrected visual acuity (BCVA) was achieved at 20/20 in both eyes. The patient tolerated the prescription well with no vertigo or nausea during trial frame testing.</w:t>
      </w:r>
    </w:p>
    <w:p>
      <w:pPr>
        <w:pStyle w:val="BodyText"/>
      </w:pPr>
      <w:r>
        <w:br/>
      </w:r>
    </w:p>
    <w:bookmarkStart w:id="25" w:name="binocular-vision-assessment"/>
    <w:p>
      <w:pPr>
        <w:pStyle w:val="Heading3"/>
      </w:pPr>
      <w:r>
        <w:t xml:space="preserve">Binocular Vision Assessment</w:t>
      </w:r>
    </w:p>
    <w:p>
      <w:pPr>
        <w:pStyle w:val="FirstParagraph"/>
      </w:pPr>
      <w:r>
        <w:br/>
      </w:r>
    </w:p>
    <w:p>
      <w:pPr>
        <w:pStyle w:val="BodyText"/>
      </w:pPr>
      <w:r>
        <w:t xml:space="preserve">Cover/uncover testing revealed orthophoria at distance and mild exophoria at near (4 prism diopters). Convergence insufficiency was ruled out as the patient demonstrated normal near point of convergence (NPC) retreat to 8 cm.</w:t>
      </w:r>
    </w:p>
    <w:p>
      <w:pPr>
        <w:pStyle w:val="BodyText"/>
      </w:pPr>
      <w:r>
        <w:br/>
      </w:r>
    </w:p>
    <w:bookmarkEnd w:id="25"/>
    <w:bookmarkEnd w:id="26"/>
    <w:bookmarkStart w:id="27" w:name="posterior-segment-examination"/>
    <w:p>
      <w:pPr>
        <w:pStyle w:val="Heading2"/>
      </w:pPr>
      <w:r>
        <w:t xml:space="preserve">Posterior Segment Examination</w:t>
      </w:r>
    </w:p>
    <w:p>
      <w:pPr>
        <w:pStyle w:val="FirstParagraph"/>
      </w:pPr>
      <w:r>
        <w:br/>
      </w:r>
    </w:p>
    <w:p>
      <w:pPr>
        <w:pStyle w:val="BodyText"/>
      </w:pPr>
      <w:r>
        <w:t xml:space="preserve">The fundus examination was performed using indirect ophthalmoscopy and dilating drops (Tropicamide 1%). The optic discs were pink with distinct margins and a cup-to-disc ratio of 0.3 in both eyes, indicating no signs of glaucomatous cupping.</w:t>
      </w:r>
    </w:p>
    <w:p>
      <w:pPr>
        <w:pStyle w:val="BodyText"/>
      </w:pPr>
      <w:r>
        <w:br/>
      </w:r>
    </w:p>
    <w:p>
      <w:pPr>
        <w:pStyle w:val="BodyText"/>
      </w:pPr>
      <w:r>
        <w:t xml:space="preserve">The macula appeared healthy with a present foveal reflex. The retinal vasculature showed normal caliber and tortuosity without arteriovenous nicking or hemorrhages. The peripheral retina was examined via scleral depression and was found to be attached with no lattice degeneration, tears, or holes.</w:t>
      </w:r>
    </w:p>
    <w:p>
      <w:pPr>
        <w:pStyle w:val="BodyText"/>
      </w:pPr>
      <w:r>
        <w:br/>
      </w:r>
    </w:p>
    <w:bookmarkEnd w:id="27"/>
    <w:bookmarkStart w:id="28" w:name="diagnosis"/>
    <w:p>
      <w:pPr>
        <w:pStyle w:val="Heading2"/>
      </w:pPr>
      <w:r>
        <w:t xml:space="preserve">Diagnosis</w:t>
      </w:r>
    </w:p>
    <w:p>
      <w:pPr>
        <w:pStyle w:val="FirstParagraph"/>
      </w:pPr>
      <w:r>
        <w:br/>
      </w:r>
    </w:p>
    <w:p>
      <w:pPr>
        <w:pStyle w:val="BodyText"/>
      </w:pPr>
      <w:r>
        <w:t xml:space="preserve">Based on the comprehensive evaluation conducted in United States New York City, the following diagnoses were rendered:</w:t>
      </w:r>
    </w:p>
    <w:p>
      <w:pPr>
        <w:pStyle w:val="BodyText"/>
      </w:pPr>
      <w:r>
        <w:br/>
      </w:r>
    </w:p>
    <w:p>
      <w:pPr>
        <w:numPr>
          <w:ilvl w:val="0"/>
          <w:numId w:val="1004"/>
        </w:numPr>
        <w:pStyle w:val="Compact"/>
      </w:pPr>
      <w:r>
        <w:rPr>
          <w:bCs/>
          <w:b/>
        </w:rPr>
        <w:t xml:space="preserve">Mild Myopia (OD and OS):</w:t>
      </w:r>
      <w:r>
        <w:t xml:space="preserve"> </w:t>
      </w:r>
      <w:r>
        <w:t xml:space="preserve">Refractive error causing distance blur.</w:t>
      </w:r>
    </w:p>
    <w:p>
      <w:pPr>
        <w:numPr>
          <w:ilvl w:val="0"/>
          <w:numId w:val="1004"/>
        </w:numPr>
        <w:pStyle w:val="Compact"/>
      </w:pPr>
      <w:r>
        <w:rPr>
          <w:bCs/>
          <w:b/>
        </w:rPr>
        <w:t xml:space="preserve">Astigmatism (Simple Myopic), OD and OS:</w:t>
      </w:r>
      <w:r>
        <w:t xml:space="preserve"> </w:t>
      </w:r>
      <w:r>
        <w:t xml:space="preserve">Minor astigmatic component requiring correction for optimal clarity.</w:t>
      </w:r>
    </w:p>
    <w:p>
      <w:pPr>
        <w:numPr>
          <w:ilvl w:val="0"/>
          <w:numId w:val="1004"/>
        </w:numPr>
        <w:pStyle w:val="Compact"/>
      </w:pPr>
      <w:r>
        <w:rPr>
          <w:bCs/>
          <w:b/>
        </w:rPr>
        <w:t xml:space="preserve">Digital Eye Strain / Computer Vision Syndrome:</w:t>
      </w:r>
    </w:p>
    <w:p>
      <w:pPr>
        <w:numPr>
          <w:ilvl w:val="0"/>
          <w:numId w:val="1000"/>
        </w:numPr>
        <w:pStyle w:val="Compact"/>
      </w:pPr>
      <w:r>
        <w:t xml:space="preserve">Evidence of accommodative fatigue and dry eye symptoms secondary to prolonged screen time. The clinical presentation is highly prevalent in the urban workforce of United States New York City, where digital device usage is intensive.</w:t>
      </w:r>
    </w:p>
    <w:p>
      <w:pPr>
        <w:numPr>
          <w:ilvl w:val="0"/>
          <w:numId w:val="1004"/>
        </w:numPr>
        <w:pStyle w:val="Compact"/>
      </w:pPr>
      <w:r>
        <w:rPr>
          <w:bCs/>
          <w:b/>
        </w:rPr>
        <w:t xml:space="preserve">Ocular Surface Disease (Mild):</w:t>
      </w:r>
      <w:r>
        <w:t xml:space="preserve"> </w:t>
      </w:r>
      <w:r>
        <w:t xml:space="preserve">Evaporative dry eye components suggested by symptom profile, though objective signs on slit-lamp were minimal.</w:t>
      </w:r>
    </w:p>
    <w:p>
      <w:pPr>
        <w:pStyle w:val="FirstParagraph"/>
      </w:pPr>
      <w:r>
        <w:br/>
      </w:r>
    </w:p>
    <w:bookmarkEnd w:id="28"/>
    <w:bookmarkStart w:id="29" w:name="treatment-plan-and-recommendations"/>
    <w:p>
      <w:pPr>
        <w:pStyle w:val="Heading2"/>
      </w:pPr>
      <w:r>
        <w:t xml:space="preserve">Treatment Plan and Recommendations</w:t>
      </w:r>
    </w:p>
    <w:p>
      <w:pPr>
        <w:pStyle w:val="FirstParagraph"/>
      </w:pPr>
      <w:r>
        <w:br/>
      </w:r>
    </w:p>
    <w:p>
      <w:pPr>
        <w:pStyle w:val="BodyText"/>
      </w:pPr>
      <w:r>
        <w:t xml:space="preserve">To address the diagnosed conditions and improve the patient's visual comfort in his professional environment, the following treatment plan is prescribed:</w:t>
      </w:r>
    </w:p>
    <w:p>
      <w:pPr>
        <w:pStyle w:val="BodyText"/>
      </w:pPr>
      <w:r>
        <w:br/>
      </w:r>
    </w:p>
    <w:p>
      <w:pPr>
        <w:numPr>
          <w:ilvl w:val="0"/>
          <w:numId w:val="1005"/>
        </w:numPr>
        <w:pStyle w:val="Compact"/>
      </w:pPr>
      <w:r>
        <w:rPr>
          <w:bCs/>
          <w:b/>
        </w:rPr>
        <w:t xml:space="preserve">Refractive Correction:</w:t>
      </w:r>
    </w:p>
    <w:p>
      <w:pPr>
        <w:numPr>
          <w:ilvl w:val="0"/>
          <w:numId w:val="1000"/>
        </w:numPr>
        <w:pStyle w:val="Compact"/>
      </w:pPr>
      <w:r>
        <w:t xml:space="preserve">The patient was dispensed a new pair of single-vision glasses optimized for distance and intermediate (computer) use. The addition of a small plus power (+0.50 D) for the near portion is recommended to reduce accommodative load, effectively treating the pseudo-myopic component.</w:t>
      </w:r>
    </w:p>
    <w:p>
      <w:pPr>
        <w:numPr>
          <w:ilvl w:val="0"/>
          <w:numId w:val="1005"/>
        </w:numPr>
        <w:pStyle w:val="Compact"/>
      </w:pPr>
      <w:r>
        <w:rPr>
          <w:bCs/>
          <w:b/>
        </w:rPr>
        <w:t xml:space="preserve">Digital Hygiene Education:</w:t>
      </w:r>
    </w:p>
    <w:p>
      <w:pPr>
        <w:numPr>
          <w:ilvl w:val="0"/>
          <w:numId w:val="1000"/>
        </w:numPr>
        <w:pStyle w:val="Compact"/>
      </w:pPr>
      <w:r>
        <w:t xml:space="preserve">The patient was instructed on the "20-20-20 rule": every 20 minutes of screen time, look at an object 20 feet away for at least 20 seconds. This strategy is particularly effective for mitigating eye strain in office settings common in United States New York City.</w:t>
      </w:r>
    </w:p>
    <w:p>
      <w:pPr>
        <w:numPr>
          <w:ilvl w:val="0"/>
          <w:numId w:val="1005"/>
        </w:numPr>
        <w:pStyle w:val="Compact"/>
      </w:pPr>
      <w:r>
        <w:rPr>
          <w:bCs/>
          <w:b/>
        </w:rPr>
        <w:t xml:space="preserve">Artificial Tears:</w:t>
      </w:r>
    </w:p>
    <w:p>
      <w:pPr>
        <w:numPr>
          <w:ilvl w:val="0"/>
          <w:numId w:val="1000"/>
        </w:numPr>
        <w:pStyle w:val="Compact"/>
      </w:pPr>
      <w:r>
        <w:t xml:space="preserve">Preservative-free artificial tears were recommended to be used four times daily to alleviate dryness and stabilize the tear film. Lubricating gel drops are suggested for use before bed if morning dryness persists.</w:t>
      </w:r>
    </w:p>
    <w:p>
      <w:pPr>
        <w:numPr>
          <w:ilvl w:val="0"/>
          <w:numId w:val="1005"/>
        </w:numPr>
        <w:pStyle w:val="Compact"/>
      </w:pPr>
      <w:r>
        <w:rPr>
          <w:bCs/>
          <w:b/>
        </w:rPr>
        <w:t xml:space="preserve">Monitoring:</w:t>
      </w:r>
    </w:p>
    <w:p>
      <w:pPr>
        <w:numPr>
          <w:ilvl w:val="0"/>
          <w:numId w:val="1000"/>
        </w:numPr>
        <w:pStyle w:val="Compact"/>
      </w:pPr>
      <w:r>
        <w:t xml:space="preserve">A follow-up appointment is scheduled in six months to reassess accommodative status and monitor for any changes in intraocular pressure or refractive error.</w:t>
      </w:r>
    </w:p>
    <w:p>
      <w:pPr>
        <w:pStyle w:val="FirstParagraph"/>
      </w:pPr>
      <w:r>
        <w:br/>
      </w:r>
    </w:p>
    <w:bookmarkEnd w:id="29"/>
    <w:bookmarkStart w:id="30" w:name="clinical-conclusion"/>
    <w:p>
      <w:pPr>
        <w:pStyle w:val="Heading2"/>
      </w:pPr>
      <w:r>
        <w:t xml:space="preserve">Clinical Conclusion</w:t>
      </w:r>
    </w:p>
    <w:p>
      <w:pPr>
        <w:pStyle w:val="FirstParagraph"/>
      </w:pPr>
      <w:r>
        <w:br/>
      </w:r>
    </w:p>
    <w:p>
      <w:pPr>
        <w:pStyle w:val="BodyText"/>
      </w:pPr>
      <w:r>
        <w:t xml:space="preserve">This Lab Report details a comprehensive optometric evaluation performed for a patient residing and working in United States New York City. The findings indicate that the primary visual disturbances are related to refractive errors exacerbated by digital eye strain. The absence of pathological findings in the posterior segment confirms good ocular health, but proactive management of digital habits is essential for long-term visual comfort.</w:t>
      </w:r>
    </w:p>
    <w:p>
      <w:pPr>
        <w:pStyle w:val="BodyText"/>
      </w:pPr>
      <w:r>
        <w:br/>
      </w:r>
    </w:p>
    <w:p>
      <w:pPr>
        <w:pStyle w:val="BodyText"/>
      </w:pPr>
      <w:r>
        <w:t xml:space="preserve">The integration of precise optometry techniques with an understanding of the lifestyle factors prevalent in United States New York City allows for a tailored treatment plan. By addressing both the optical and environmental contributors to his symptoms, the patient can expect significant improvement in visual quality and reduction in headache frequency. This report serves as a permanent record of care for future reference and continuity within the healthcare system.</w:t>
      </w:r>
    </w:p>
    <w:p>
      <w:pPr>
        <w:pStyle w:val="BodyText"/>
      </w:pPr>
      <w:r>
        <w:br/>
      </w:r>
    </w:p>
    <w:p>
      <w:pPr>
        <w:pStyle w:val="BodyText"/>
      </w:pPr>
      <w:r>
        <w:rPr>
          <w:bCs/>
          <w:b/>
        </w:rPr>
        <w:t xml:space="preserve">Physician Signature:</w:t>
      </w:r>
    </w:p>
    <w:p>
      <w:pPr>
        <w:pStyle w:val="BodyText"/>
      </w:pPr>
      <w:r>
        <w:br/>
      </w:r>
      <w:r>
        <w:rPr>
          <w:iCs/>
          <w:i/>
        </w:rPr>
        <w:t xml:space="preserve">/s/ Elena Rodriguez</w:t>
      </w:r>
    </w:p>
    <w:p>
      <w:pPr>
        <w:pStyle w:val="BodyText"/>
      </w:pPr>
      <w:r>
        <w:t xml:space="preserve">Elena Rodriguez, OD, FAAO</w:t>
      </w:r>
    </w:p>
    <w:p>
      <w:pPr>
        <w:pStyle w:val="BodyText"/>
      </w:pPr>
      <w:r>
        <w:t xml:space="preserve">Licensed Optometrist in the State of New York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Clinical Lab Report: Optometric Evaluation in United States New York City</dc:title>
  <dc:creator/>
  <dc:language>en</dc:language>
  <cp:keywords/>
  <dcterms:created xsi:type="dcterms:W3CDTF">2026-07-29T19:40:09Z</dcterms:created>
  <dcterms:modified xsi:type="dcterms:W3CDTF">2026-07-29T19:40:09Z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