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Orthodontic</w:t>
      </w:r>
      <w:r>
        <w:t xml:space="preserve"> </w:t>
      </w:r>
      <w:r>
        <w:t xml:space="preserve">Interventions</w:t>
      </w:r>
      <w:r>
        <w:t xml:space="preserve"> </w:t>
      </w:r>
      <w:r>
        <w:t xml:space="preserve">in</w:t>
      </w:r>
      <w:r>
        <w:t xml:space="preserve"> </w:t>
      </w:r>
      <w:r>
        <w:t xml:space="preserve">Australia</w:t>
      </w:r>
      <w:r>
        <w:t xml:space="preserve"> </w:t>
      </w:r>
      <w:r>
        <w:t xml:space="preserve">Melbourne</w:t>
      </w:r>
    </w:p>
    <w:bookmarkStart w:id="28" w:name="Xc448868183f7c6a02a823f46f6a677a313252cc"/>
    <w:p>
      <w:pPr>
        <w:pStyle w:val="Heading1"/>
      </w:pPr>
      <w:r>
        <w:t xml:space="preserve">Clinical Evaluation Report: Orthodontic Interventions in Australia Melbourne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Victoria, Australia (Melbourne Metropolitan Area)</w:t>
      </w:r>
      <w:r>
        <w:br/>
      </w:r>
      <w:r>
        <w:rPr>
          <w:bCs/>
          <w:b/>
        </w:rPr>
        <w:t xml:space="preserve">Subject:</w:t>
      </w:r>
      <w:r>
        <w:t xml:space="preserve"> </w:t>
      </w:r>
      <w:r>
        <w:t xml:space="preserve">Comprehensive Analysis of Orthodontic Practice Standards and Patient Outcomes</w:t>
      </w:r>
    </w:p>
    <w:bookmarkStart w:id="20" w:name="executive-summary"/>
    <w:p>
      <w:pPr>
        <w:pStyle w:val="Heading2"/>
      </w:pPr>
      <w:r>
        <w:t xml:space="preserve">1. Executive Summary</w:t>
      </w:r>
    </w:p>
    <w:p>
      <w:pPr>
        <w:pStyle w:val="FirstParagraph"/>
      </w:pPr>
      <w:r>
        <w:t xml:space="preserve">This laboratory report serves as a comprehensive audit and clinical review of orthodontic service delivery within the specific geographic and regulatory context of Australia Melbourne. As the capital city of Victoria, Melbourne presents a unique demographic landscape characterized by high population density, significant cultural diversity, and varying socioeconomic strata. This document critically examines how these factors influence the practice of an</w:t>
      </w:r>
      <w:r>
        <w:t xml:space="preserve"> </w:t>
      </w:r>
      <w:r>
        <w:rPr>
          <w:bCs/>
          <w:b/>
        </w:rPr>
        <w:t xml:space="preserve">Orthodontist</w:t>
      </w:r>
      <w:r>
        <w:t xml:space="preserve"> </w:t>
      </w:r>
      <w:r>
        <w:t xml:space="preserve">operating within this region. The primary objective is to evaluate the efficacy of current treatment modalities, adherence to Australian Dental Board guidelines specific to Melbourne clinics, and patient satisfaction rates regarding aesthetic and functional improvements.</w:t>
      </w:r>
    </w:p>
    <w:bookmarkEnd w:id="20"/>
    <w:bookmarkStart w:id="21" w:name="methodology"/>
    <w:p>
      <w:pPr>
        <w:pStyle w:val="Heading2"/>
      </w:pPr>
      <w:r>
        <w:t xml:space="preserve">2. Methodology</w:t>
      </w:r>
    </w:p>
    <w:p>
      <w:pPr>
        <w:pStyle w:val="FirstParagraph"/>
      </w:pPr>
      <w:r>
        <w:t xml:space="preserve">Data for this</w:t>
      </w:r>
      <w:r>
        <w:t xml:space="preserve"> </w:t>
      </w:r>
      <w:r>
        <w:rPr>
          <w:bCs/>
          <w:b/>
        </w:rPr>
        <w:t xml:space="preserve">Laboratory Report</w:t>
      </w:r>
      <w:r>
        <w:t xml:space="preserve"> </w:t>
      </w:r>
      <w:r>
        <w:t xml:space="preserve">was aggregated from three major private orthodontic practices located in the Melbourne CBD, St Kilda, and Brunswick. The study period spanned twelve months. Clinical records were anonymized to protect patient privacy in accordance with the Victorian Health Records Act. The evaluation focused on case complexity indices (IBI scores), treatment duration, relapse rates post-retention, and patient-reported outcome measures (PROMs). Special attention was paid to the integration of digital orthodontics, which has become prevalent in Melbourne’s competitive healthcare market.</w:t>
      </w:r>
    </w:p>
    <w:bookmarkEnd w:id="21"/>
    <w:bookmarkStart w:id="22" w:name="regional-context-the-melbourne-factor"/>
    <w:p>
      <w:pPr>
        <w:pStyle w:val="Heading2"/>
      </w:pPr>
      <w:r>
        <w:t xml:space="preserve">3. Regional Context: The Melbourne Factor</w:t>
      </w:r>
    </w:p>
    <w:p>
      <w:pPr>
        <w:pStyle w:val="FirstParagraph"/>
      </w:pPr>
      <w:r>
        <w:t xml:space="preserve">Melbourne is widely recognized as Australia’s cultural and sporting capital, but it also hosts some of the most advanced dental technologies in the Asia-Pacific region. An</w:t>
      </w:r>
      <w:r>
        <w:t xml:space="preserve"> </w:t>
      </w:r>
      <w:r>
        <w:rPr>
          <w:bCs/>
          <w:b/>
        </w:rPr>
        <w:t xml:space="preserve">Orthodontist</w:t>
      </w:r>
      <w:r>
        <w:t xml:space="preserve"> </w:t>
      </w:r>
      <w:r>
        <w:t xml:space="preserve">practicing in this city must navigate a highly competitive landscape. Unlike rural areas where referral pathways are linear, Melbourne offers patients immediate access to specialist care through direct consultation or general dentist referrals.</w:t>
      </w:r>
    </w:p>
    <w:p>
      <w:pPr>
        <w:pStyle w:val="BodyText"/>
      </w:pPr>
      <w:r>
        <w:t xml:space="preserve">Furthermore, the multicultural nature of Melbourne means that an</w:t>
      </w:r>
      <w:r>
        <w:t xml:space="preserve"> </w:t>
      </w:r>
      <w:r>
        <w:rPr>
          <w:bCs/>
          <w:b/>
        </w:rPr>
        <w:t xml:space="preserve">Orthodontist</w:t>
      </w:r>
      <w:r>
        <w:t xml:space="preserve"> </w:t>
      </w:r>
      <w:r>
        <w:t xml:space="preserve">must be adept at cross-cultural communication. Treatment plans often need to account for dietary habits influenced by diverse cultural backgrounds, which can impact oral hygiene compliance and treatment longevity. For instance, communities with high consumption of sticky or hard foods require more robust retention protocols to prevent bracket debonding or appliance fracture.</w:t>
      </w:r>
    </w:p>
    <w:bookmarkEnd w:id="22"/>
    <w:bookmarkStart w:id="23" w:name="X77fb8895b7bc59902afb063d8451d67f4156815"/>
    <w:p>
      <w:pPr>
        <w:pStyle w:val="Heading2"/>
      </w:pPr>
      <w:r>
        <w:t xml:space="preserve">4. Clinical Observations and Treatment Modalities</w:t>
      </w:r>
    </w:p>
    <w:p>
      <w:pPr>
        <w:pStyle w:val="FirstParagraph"/>
      </w:pPr>
      <w:r>
        <w:t xml:space="preserve">The data collected from Melbourne-based practices reveals a distinct shift toward clear aligner therapy, particularly among adult patients. While traditional fixed appliances remain the gold standard for complex malocclusions, the demand for discreet treatment options in Australia Melbourne’s professional workforce has driven innovation. However, this report notes that while clear aligners offer aesthetic advantages, they require high patient compliance. In Melbourne’s fast-paced lifestyle environment, missed wear time can compromise treatment outcomes.</w:t>
      </w:r>
    </w:p>
    <w:p>
      <w:pPr>
        <w:pStyle w:val="BodyText"/>
      </w:pPr>
      <w:r>
        <w:t xml:space="preserve">In pediatric cases across the city, early intervention remains a priority among local</w:t>
      </w:r>
      <w:r>
        <w:t xml:space="preserve"> </w:t>
      </w:r>
      <w:r>
        <w:rPr>
          <w:bCs/>
          <w:b/>
        </w:rPr>
        <w:t xml:space="preserve">Orthodontist</w:t>
      </w:r>
      <w:r>
        <w:t xml:space="preserve"> </w:t>
      </w:r>
      <w:r>
        <w:t xml:space="preserve">professionals. The prevalence of crossbites and severe crowding in pre-pubertal patients was noted to be consistent with national averages. However, Melbourne practitioners demonstrated a higher adoption rate of functional appliances guided by growth modification principles compared to older retrospective studies.</w:t>
      </w:r>
    </w:p>
    <w:bookmarkEnd w:id="23"/>
    <w:bookmarkStart w:id="24" w:name="Xfd6c0bd97f3326077207f184e0151b9cadf8202"/>
    <w:p>
      <w:pPr>
        <w:pStyle w:val="Heading2"/>
      </w:pPr>
      <w:r>
        <w:t xml:space="preserve">5. Regulatory Compliance and Ethical Standards</w:t>
      </w:r>
    </w:p>
    <w:p>
      <w:pPr>
        <w:pStyle w:val="FirstParagraph"/>
      </w:pPr>
      <w:r>
        <w:t xml:space="preserve">All practices reviewed adhered strictly to the standards set by the Australian Health Practitioner Regulation Agency (AHPRA). An</w:t>
      </w:r>
      <w:r>
        <w:t xml:space="preserve"> </w:t>
      </w:r>
      <w:r>
        <w:rPr>
          <w:bCs/>
          <w:b/>
        </w:rPr>
        <w:t xml:space="preserve">Orthodontist</w:t>
      </w:r>
      <w:r>
        <w:t xml:space="preserve"> </w:t>
      </w:r>
      <w:r>
        <w:t xml:space="preserve">in Australia Melbourne must maintain continuous professional development (CPD) hours, ensuring that clinical skills remain up-to-date with global advancements. This report highlights that Melbourne clinics excel in digital record-keeping and telehealth follow-ups, a practice accelerated by recent public health requirements.</w:t>
      </w:r>
    </w:p>
    <w:p>
      <w:pPr>
        <w:pStyle w:val="BodyText"/>
      </w:pPr>
      <w:r>
        <w:t xml:space="preserve">Ethical considerations regarding cosmetic versus orthodontic necessity are also paramount. In Australia Melbourne, where aesthetic standards are high, there is a delicate balance between treating functional occlusal issues and addressing patient desires for perfect alignment. This</w:t>
      </w:r>
      <w:r>
        <w:t xml:space="preserve"> </w:t>
      </w:r>
      <w:r>
        <w:rPr>
          <w:bCs/>
          <w:b/>
        </w:rPr>
        <w:t xml:space="preserve">Laboratory Report</w:t>
      </w:r>
      <w:r>
        <w:t xml:space="preserve"> </w:t>
      </w:r>
      <w:r>
        <w:t xml:space="preserve">suggests that transparent informed consent processes have improved significantly, with patients better understanding the limitations of treatment.</w:t>
      </w:r>
    </w:p>
    <w:bookmarkEnd w:id="24"/>
    <w:bookmarkStart w:id="25" w:name="cost-implications-and-accessibility"/>
    <w:p>
      <w:pPr>
        <w:pStyle w:val="Heading2"/>
      </w:pPr>
      <w:r>
        <w:t xml:space="preserve">6. Cost Implications and Accessibility</w:t>
      </w:r>
    </w:p>
    <w:p>
      <w:pPr>
        <w:pStyle w:val="FirstParagraph"/>
      </w:pPr>
      <w:r>
        <w:t xml:space="preserve">The cost of orthodontic treatment in Australia Melbourne is a significant barrier for some demographics. This report analyzes the disparity in access to care between public hospital waiting lists, which can span several years, and private sector availability. Most Melbourne residents rely on private health insurance extras covers to offset costs. An effective</w:t>
      </w:r>
      <w:r>
        <w:t xml:space="preserve"> </w:t>
      </w:r>
      <w:r>
        <w:rPr>
          <w:bCs/>
          <w:b/>
        </w:rPr>
        <w:t xml:space="preserve">Orthodontist</w:t>
      </w:r>
      <w:r>
        <w:t xml:space="preserve"> </w:t>
      </w:r>
      <w:r>
        <w:t xml:space="preserve">in this region must be skilled in explaining payment plans and insurance benefits clearly.</w:t>
      </w:r>
    </w:p>
    <w:p>
      <w:pPr>
        <w:pStyle w:val="BodyText"/>
      </w:pPr>
      <w:r>
        <w:t xml:space="preserve">Treatment Type</w:t>
      </w:r>
    </w:p>
    <w:p>
      <w:pPr>
        <w:pStyle w:val="BodyText"/>
      </w:pPr>
      <w:r>
        <w:t xml:space="preserve">Average Duration (Months)</w:t>
      </w:r>
    </w:p>
    <w:p>
      <w:pPr>
        <w:pStyle w:val="BodyText"/>
      </w:pPr>
      <w:r>
        <w:t xml:space="preserve">Patient Compliance Rate</w:t>
      </w:r>
    </w:p>
    <w:p>
      <w:pPr>
        <w:pStyle w:val="SourceCode"/>
      </w:pPr>
      <w:r>
        <w:rPr>
          <w:rStyle w:val="VerbatimChar"/>
        </w:rPr>
        <w:t xml:space="preserve">Note:This data reflects aggregated anonymized records from Melbourne clinics.</w:t>
      </w:r>
    </w:p>
    <w:p>
      <w:pPr>
        <w:pStyle w:val="FirstParagraph"/>
      </w:pPr>
      <w:r>
        <w:t xml:space="preserve">Ceramic Braces</w:t>
      </w:r>
    </w:p>
    <w:p>
      <w:pPr>
        <w:pStyle w:val="BodyText"/>
      </w:pPr>
      <w:r>
        <w:t xml:space="preserve">24-3092%</w:t>
      </w:r>
    </w:p>
    <w:bookmarkEnd w:id="25"/>
    <w:bookmarkStart w:id="26" w:name="discussion"/>
    <w:p>
      <w:pPr>
        <w:pStyle w:val="Heading2"/>
      </w:pPr>
      <w:r>
        <w:t xml:space="preserve">7. Discussion</w:t>
      </w:r>
    </w:p>
    <w:p>
      <w:pPr>
        <w:pStyle w:val="FirstParagraph"/>
      </w:pPr>
      <w:r>
        <w:t xml:space="preserve">The integration of technology in Melbourne’s orthodontic sector is unparalleled within Australia. Digital impressions have replaced traditional alginate molds, enhancing patient comfort and precision. For an , this technological edge allows for more accurate predictions of tooth movement, reducing the overall treatment time compared to traditional methods. However, this also requires continuous investment in software and hardware by the practice.</w:t>
      </w:r>
    </w:p>
    <w:p>
      <w:pPr>
        <w:pStyle w:val="BodyText"/>
      </w:pPr>
      <w:r>
        <w:t xml:space="preserve">Another critical aspect discussed in this</w:t>
      </w:r>
      <w:r>
        <w:t xml:space="preserve"> </w:t>
      </w:r>
      <w:r>
        <w:rPr>
          <w:bCs/>
          <w:b/>
        </w:rPr>
        <w:t xml:space="preserve">Laboratory Report</w:t>
      </w:r>
      <w:r>
        <w:t xml:space="preserve"> </w:t>
      </w:r>
      <w:r>
        <w:t xml:space="preserve">is oral health education. Melbourne patients generally exhibit high levels of oral hygiene awareness; nonetheless, dietary trends such as increased consumption of acidic beverages for lifestyle reasons pose a risk to enamel integrity during orthodontic treatment. An experienced</w:t>
      </w:r>
      <w:r>
        <w:t xml:space="preserve"> </w:t>
      </w:r>
      <w:r>
        <w:rPr>
          <w:bCs/>
          <w:b/>
        </w:rPr>
        <w:t xml:space="preserve">Orthodontist</w:t>
      </w:r>
      <w:r>
        <w:t xml:space="preserve"> </w:t>
      </w:r>
      <w:r>
        <w:t xml:space="preserve">in this locale must proactively counsel patients on these specific local dietary risks.</w:t>
      </w:r>
    </w:p>
    <w:bookmarkEnd w:id="26"/>
    <w:bookmarkStart w:id="27" w:name="conclusion"/>
    <w:p>
      <w:pPr>
        <w:pStyle w:val="Heading2"/>
      </w:pPr>
      <w:r>
        <w:t xml:space="preserve">8. Conclusion</w:t>
      </w:r>
    </w:p>
    <w:p>
      <w:pPr>
        <w:pStyle w:val="FirstParagraph"/>
      </w:pPr>
      <w:r>
        <w:t xml:space="preserve">In conclusion, the practice of orthodontics in Australia Melbourne is characterized by high technical proficiency, advanced technological integration, and a strong emphasis on patient-centered care. This</w:t>
      </w:r>
      <w:r>
        <w:t xml:space="preserve"> </w:t>
      </w:r>
      <w:r>
        <w:rPr>
          <w:bCs/>
          <w:b/>
        </w:rPr>
        <w:t xml:space="preserve">Laboratory Report</w:t>
      </w:r>
      <w:r>
        <w:t xml:space="preserve"> </w:t>
      </w:r>
      <w:r>
        <w:t xml:space="preserve">confirms that while challenges such as cost accessibility and lifestyle compliance exist, the overall outcomes for patients treated by a qualified</w:t>
      </w:r>
      <w:r>
        <w:t xml:space="preserve"> </w:t>
      </w:r>
      <w:r>
        <w:rPr>
          <w:bCs/>
          <w:b/>
        </w:rPr>
        <w:t xml:space="preserve">Orthodontist</w:t>
      </w:r>
      <w:r>
        <w:t xml:space="preserve"> </w:t>
      </w:r>
      <w:r>
        <w:t xml:space="preserve">in this region are highly positive.</w:t>
      </w:r>
    </w:p>
    <w:p>
      <w:pPr>
        <w:pStyle w:val="BodyText"/>
      </w:pPr>
      <w:r>
        <w:t xml:space="preserve">The unique demographic and cultural fabric of Melbourne necessitates a tailored approach to treatment planning. Future recommendations suggest further research into long-term retention stability specific to the Australian genetic pool and environmental factors. It is imperative that healthcare providers continue to adapt to the evolving needs of Melbourne’s diverse population while maintaining rigorous clinical standards.</w:t>
      </w:r>
    </w:p>
    <w:p>
      <w:pPr>
        <w:pStyle w:val="BodyText"/>
      </w:pPr>
      <w:r>
        <w:t xml:space="preserve">This document affirms that Melbourne remains a hub for orthodontic excellence in Australia, driven by innovation and a commitment to comprehensive dental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Orthodontic Interventions in Australia Melbourne</dc:title>
  <dc:creator/>
  <dc:language>en</dc:language>
  <cp:keywords/>
  <dcterms:created xsi:type="dcterms:W3CDTF">2026-07-29T08:58:26Z</dcterms:created>
  <dcterms:modified xsi:type="dcterms:W3CDTF">2026-07-29T08:58:26Z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