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Orthodontic</w:t>
      </w:r>
      <w:r>
        <w:t xml:space="preserve"> </w:t>
      </w:r>
      <w:r>
        <w:t xml:space="preserve">Protocols</w:t>
      </w:r>
      <w:r>
        <w:t xml:space="preserve"> </w:t>
      </w:r>
      <w:r>
        <w:t xml:space="preserve">in</w:t>
      </w:r>
      <w:r>
        <w:t xml:space="preserve"> </w:t>
      </w:r>
      <w:r>
        <w:t xml:space="preserve">China,</w:t>
      </w:r>
      <w:r>
        <w:t xml:space="preserve"> </w:t>
      </w:r>
      <w:r>
        <w:t xml:space="preserve">Beijing</w:t>
      </w:r>
    </w:p>
    <w:bookmarkStart w:id="31"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Beijing Municipal Health Commission &amp; Dental Research Institute</w:t>
      </w:r>
      <w:r>
        <w:br/>
      </w:r>
    </w:p>
    <w:p>
      <w:pPr>
        <w:pStyle w:val="BodyText"/>
      </w:pPr>
      <w:r>
        <w:t xml:space="preserve">From:Clinical Orthodontic Research Division""&gt;Subject: Comprehensive Laboratory Report on Advanced Orthodontist Techniques and Patient Demographics in China, Beijing</w:t>
      </w:r>
    </w:p>
    <w:p>
      <w:pPr>
        <w:pStyle w:val="BodyText"/>
      </w:pPr>
      <w:r>
        <w:t xml:space="preserve">1.0 Executive Summary</w:t>
      </w:r>
    </w:p>
    <w:p>
      <w:pPr>
        <w:pStyle w:val="BodyText"/>
      </w:pPr>
      <w:r>
        <w:t xml:space="preserve">This</w:t>
      </w:r>
      <w:r>
        <w:t xml:space="preserve"> </w:t>
      </w:r>
      <w:r>
        <w:rPr>
          <w:bCs/>
          <w:b/>
        </w:rPr>
        <w:t xml:space="preserve">Laboratory Report</w:t>
      </w:r>
      <w:r>
        <w:t xml:space="preserve"> </w:t>
      </w:r>
      <w:r>
        <w:t xml:space="preserve">outlines the comprehensive findings regarding the current state of orthodontic treatment methodologies within</w:t>
      </w:r>
      <w:r>
        <w:t xml:space="preserve"> </w:t>
      </w:r>
      <w:r>
        <w:rPr>
          <w:bCs/>
          <w:b/>
        </w:rPr>
        <w:t xml:space="preserve">China Beijing</w:t>
      </w:r>
      <w:r>
        <w:t xml:space="preserve">. The primary objective of this study is to evaluate the efficacy, adoption rates, and clinical outcomes of modern</w:t>
      </w:r>
    </w:p>
    <w:p>
      <w:pPr>
        <w:pStyle w:val="BodyText"/>
      </w:pPr>
      <w:r>
        <w:t xml:space="preserve">Orthodontist&gt; protocols in one of Asia's most rapidly urbanizing metropolitan areas. As a specialized medical discipline, orthodontics plays a pivotal role in enhancing both functional oral health and aesthetic standards. This document serves as an official record of our laboratory analyses, clinical observations, and strategic recommendations tailored specifically for the unique demographic and healthcare infrastructure present in</w:t>
      </w:r>
      <w:r>
        <w:t xml:space="preserve"> </w:t>
      </w:r>
      <w:r>
        <w:rPr>
          <w:bCs/>
          <w:b/>
        </w:rPr>
        <w:t xml:space="preserve">China Beijing</w:t>
      </w:r>
      <w:r>
        <w:t xml:space="preserve">.</w:t>
      </w:r>
    </w:p>
    <w:bookmarkStart w:id="20" w:name="introduction-and-background"/>
    <w:p>
      <w:pPr>
        <w:pStyle w:val="Heading2"/>
      </w:pPr>
      <w:r>
        <w:t xml:space="preserve">2.0 Introduction and Background</w:t>
      </w:r>
    </w:p>
    <w:p>
      <w:pPr>
        <w:pStyle w:val="FirstParagraph"/>
      </w:pPr>
      <w:r>
        <w:t xml:space="preserve">The field of orthodontics has evolved significantly over the past decade, transitioning from traditional metal braces to digital invisibles and automated aligner systems. In</w:t>
      </w:r>
    </w:p>
    <w:p>
      <w:pPr>
        <w:pStyle w:val="BodyText"/>
      </w:pPr>
      <w:r>
        <w:t xml:space="preserve">China Beijing&gt; the demand for high-quality dental care has surged due to rising disposable incomes and an increasing awareness of personal appearance. This</w:t>
      </w:r>
      <w:r>
        <w:t xml:space="preserve"> </w:t>
      </w:r>
      <w:r>
        <w:rPr>
          <w:bCs/>
          <w:b/>
        </w:rPr>
        <w:t xml:space="preserve">Laboratory Report</w:t>
      </w:r>
      <w:r>
        <w:t xml:space="preserve"> </w:t>
      </w:r>
      <w:r>
        <w:t xml:space="preserve">aims to bridge the gap between theoretical research and practical application, providing data-driven insights that will assist healthcare providers in optimizing patient care.</w:t>
      </w:r>
    </w:p>
    <w:p>
      <w:pPr>
        <w:pStyle w:val="BodyText"/>
      </w:pPr>
      <w:r>
        <w:t xml:space="preserve">Beijing, as the capital of</w:t>
      </w:r>
    </w:p>
    <w:p>
      <w:pPr>
        <w:pStyle w:val="BodyText"/>
      </w:pPr>
      <w:r>
        <w:t xml:space="preserve">China Beijing&gt;, hosts a dense population with diverse age groups and socioeconomic backgrounds. The urban environment presents unique challenges and opportunities for orthodontic practitioners. This report documents the specific conditions encountered in this region, highlighting how local factors influence the daily work of an</w:t>
      </w:r>
    </w:p>
    <w:p>
      <w:pPr>
        <w:pStyle w:val="BodyText"/>
      </w:pPr>
      <w:r>
        <w:t xml:space="preserve">Orthodontist&gt;.</w:t>
      </w:r>
    </w:p>
    <w:bookmarkEnd w:id="20"/>
    <w:bookmarkStart w:id="21" w:name="methodology"/>
    <w:p>
      <w:pPr>
        <w:pStyle w:val="Heading2"/>
      </w:pPr>
      <w:r>
        <w:t xml:space="preserve">3.0 Methodology</w:t>
      </w:r>
    </w:p>
    <w:p>
      <w:pPr>
        <w:pStyle w:val="FirstParagraph"/>
      </w:pPr>
      <w:r>
        <w:t xml:space="preserve">Data for this</w:t>
      </w:r>
    </w:p>
    <w:p>
      <w:pPr>
        <w:pStyle w:val="BodyText"/>
      </w:pPr>
      <w:r>
        <w:t xml:space="preserve">Laboratory Report&gt; was collected through a multi-phase approach involving clinical trials, patient surveys, and technological assessments conducted in major dental clinics across</w:t>
      </w:r>
    </w:p>
    <w:p>
      <w:pPr>
        <w:pStyle w:val="BodyText"/>
      </w:pPr>
      <w:r>
        <w:t xml:space="preserve">China Beijing.</w:t>
      </w:r>
    </w:p>
    <w:p>
      <w:pPr>
        <w:numPr>
          <w:ilvl w:val="0"/>
          <w:numId w:val="1001"/>
        </w:numPr>
        <w:pStyle w:val="Compact"/>
      </w:pPr>
      <w:r>
        <w:t xml:space="preserve">Clinical Trials: A sample size of 500 patients was monitored over a twelve-month period. Each patient underwent standard orthodontic evaluations by certified</w:t>
      </w:r>
    </w:p>
    <w:p>
      <w:pPr>
        <w:numPr>
          <w:ilvl w:val="0"/>
          <w:numId w:val="1000"/>
        </w:numPr>
        <w:pStyle w:val="Compact"/>
      </w:pPr>
      <w:r>
        <w:t xml:space="preserve">Orthodontist&gt; professionals.</w:t>
      </w:r>
    </w:p>
    <w:p>
      <w:pPr>
        <w:numPr>
          <w:ilvl w:val="0"/>
          <w:numId w:val="1001"/>
        </w:numPr>
        <w:pStyle w:val="Compact"/>
      </w:pPr>
      <w:r>
        <w:t xml:space="preserve">Patient Feedback:Surveys were distributed to assess patient satisfaction, pain levels, and compliance with treatment protocols in</w:t>
      </w:r>
    </w:p>
    <w:p>
      <w:pPr>
        <w:numPr>
          <w:ilvl w:val="0"/>
          <w:numId w:val="1000"/>
        </w:numPr>
        <w:pStyle w:val="Compact"/>
      </w:pPr>
      <w:r>
        <w:t xml:space="preserve">China Beijing.</w:t>
      </w:r>
    </w:p>
    <w:bookmarkEnd w:id="21"/>
    <w:bookmarkStart w:id="25" w:name="clinical-findings"/>
    <w:p>
      <w:pPr>
        <w:pStyle w:val="Heading2"/>
      </w:pPr>
      <w:r>
        <w:t xml:space="preserve">4.0 Clinical Findings</w:t>
      </w:r>
    </w:p>
    <w:bookmarkStart w:id="22" w:name="prevalence-of-malocclusion-types"/>
    <w:p>
      <w:pPr>
        <w:pStyle w:val="Heading3"/>
      </w:pPr>
      <w:r>
        <w:t xml:space="preserve">4.1 Prevalence of Malocclusion Types</w:t>
      </w:r>
    </w:p>
    <w:p>
      <w:pPr>
        <w:pStyle w:val="FirstParagraph"/>
      </w:pPr>
      <w:r>
        <w:t xml:space="preserve">The laboratory analysis reveals that Class II malocclusions are the most prevalent type among patients seeking treatment in</w:t>
      </w:r>
    </w:p>
    <w:p>
      <w:pPr>
        <w:pStyle w:val="BodyText"/>
      </w:pPr>
      <w:r>
        <w:t xml:space="preserve">China Beijing&gt;. This finding is consistent with genetic trends observed in East Asian populations. However, there has been a noticeable increase in Class III malocclusions, particularly among younger demographics, likely due to dietary changes and mouth-breathing habits associated with urban living environments.</w:t>
      </w:r>
    </w:p>
    <w:bookmarkEnd w:id="22"/>
    <w:bookmarkStart w:id="23" w:name="adoption-of-digital-orthodontics"/>
    <w:p>
      <w:pPr>
        <w:pStyle w:val="Heading3"/>
      </w:pPr>
      <w:r>
        <w:t xml:space="preserve">4.2 Adoption of Digital Orthodontics</w:t>
      </w:r>
    </w:p>
    <w:p>
      <w:pPr>
        <w:pStyle w:val="FirstParagraph"/>
      </w:pPr>
      <w:r>
        <w:t xml:space="preserve">A significant portion of the</w:t>
      </w:r>
    </w:p>
    <w:p>
      <w:pPr>
        <w:pStyle w:val="BodyText"/>
      </w:pPr>
      <w:r>
        <w:t xml:space="preserve">Orthodontist&gt; community in</w:t>
      </w:r>
    </w:p>
    <w:p>
      <w:pPr>
        <w:pStyle w:val="BodyText"/>
      </w:pPr>
      <w:r>
        <w:t xml:space="preserve">China Beijing&gt; has transitioned toward digital workflows. The integration of AI-driven treatment planning software has reduced diagnostic errors by approximately 15% compared to traditional analog methods. This shift is crucial for maintaining the high standards expected in a metropolis like Beijing.</w:t>
      </w:r>
    </w:p>
    <w:bookmarkEnd w:id="23"/>
    <w:bookmarkStart w:id="24" w:name="patient-compliance-and-aesthetics"/>
    <w:p>
      <w:pPr>
        <w:pStyle w:val="Heading3"/>
      </w:pPr>
      <w:r>
        <w:t xml:space="preserve">4.3 Patient Compliance and Aesthetics</w:t>
      </w:r>
    </w:p>
    <w:p>
      <w:pPr>
        <w:pStyle w:val="FirstParagraph"/>
      </w:pPr>
      <w:r>
        <w:t xml:space="preserve">Patient compliance remains a critical factor in the success of orthodontic treatment. In</w:t>
      </w:r>
    </w:p>
    <w:p>
      <w:pPr>
        <w:pStyle w:val="BodyText"/>
      </w:pPr>
      <w:r>
        <w:t xml:space="preserve">China Beijing&gt;, there is a strong preference for clear aligners among adult patients due to aesthetic concerns. Conversely, adolescent patients show higher acceptance rates for fixed appliances when paired with comprehensive education regarding oral hygiene.</w:t>
      </w:r>
    </w:p>
    <w:bookmarkEnd w:id="24"/>
    <w:bookmarkEnd w:id="25"/>
    <w:bookmarkStart w:id="27" w:name="discussion"/>
    <w:p>
      <w:pPr>
        <w:pStyle w:val="Heading2"/>
      </w:pPr>
      <w:r>
        <w:t xml:space="preserve">5.0 Discussion</w:t>
      </w:r>
    </w:p>
    <w:p>
      <w:pPr>
        <w:pStyle w:val="FirstParagraph"/>
      </w:pPr>
      <w:r>
        <w:t xml:space="preserve">5.1 The Role of the</w:t>
      </w:r>
    </w:p>
    <w:p>
      <w:pPr>
        <w:pStyle w:val="BodyText"/>
      </w:pPr>
      <w:r>
        <w:t xml:space="preserve">Orthodontist&gt; in Public Health</w:t>
      </w:r>
    </w:p>
    <w:p>
      <w:pPr>
        <w:pStyle w:val="BodyText"/>
      </w:pPr>
      <w:r>
        <w:t xml:space="preserve">The</w:t>
      </w:r>
    </w:p>
    <w:p>
      <w:pPr>
        <w:pStyle w:val="BodyText"/>
      </w:pPr>
      <w:r>
        <w:t xml:space="preserve">Laboratory Report&gt; findings emphasize that an</w:t>
      </w:r>
    </w:p>
    <w:p>
      <w:pPr>
        <w:pStyle w:val="BodyText"/>
      </w:pPr>
      <w:r>
        <w:t xml:space="preserve">Orthodontist&gt; is not merely a cosmetic practitioner but a vital component of public health infrastructure. Proper orthodontic treatment in</w:t>
      </w:r>
    </w:p>
    <w:p>
      <w:pPr>
        <w:pStyle w:val="BodyText"/>
      </w:pPr>
      <w:r>
        <w:t xml:space="preserve">China Beijing&gt; can reduce the incidence of temporomandibular joint disorders (TMD) and periodontal diseases. Therefore, training programs for</w:t>
      </w:r>
    </w:p>
    <w:p>
      <w:pPr>
        <w:pStyle w:val="BodyText"/>
      </w:pPr>
      <w:r>
        <w:t xml:space="preserve">Orthodontist&gt; candidates must emphasize holistic health outcomes.</w:t>
      </w:r>
    </w:p>
    <w:p>
      <w:pPr>
        <w:pStyle w:val="BodyText"/>
      </w:pPr>
      <w:r>
        <w:t xml:space="preserve">5.2 Infrastructure Challenges in</w:t>
      </w:r>
    </w:p>
    <w:p>
      <w:pPr>
        <w:pStyle w:val="BodyText"/>
      </w:pPr>
      <w:r>
        <w:t xml:space="preserve">China Beijing</w:t>
      </w:r>
    </w:p>
    <w:p>
      <w:pPr>
        <w:pStyle w:val="BodyText"/>
      </w:pPr>
      <w:r>
        <w:t xml:space="preserve">The dense population of</w:t>
      </w:r>
    </w:p>
    <w:p>
      <w:pPr>
        <w:pStyle w:val="BodyText"/>
      </w:pPr>
      <w:r>
        <w:t xml:space="preserve">China Beijing&gt; poses logistical challenges regarding clinic accessibility and appointment scheduling. This</w:t>
      </w:r>
    </w:p>
    <w:p>
      <w:pPr>
        <w:pStyle w:val="BodyText"/>
      </w:pPr>
      <w:r>
        <w:t xml:space="preserve">Laboratory Report&gt; suggests that tele-orthodontics, where remote monitoring is utilized for follow-up visits, could alleviate pressure on physical infrastructure while maintaining high standards of care.</w:t>
      </w:r>
    </w:p>
    <w:bookmarkStart w:id="26" w:name="economic-implications"/>
    <w:p>
      <w:pPr>
        <w:pStyle w:val="Heading3"/>
      </w:pPr>
      <w:r>
        <w:t xml:space="preserve">5.3 Economic Implications</w:t>
      </w:r>
    </w:p>
    <w:p>
      <w:pPr>
        <w:pStyle w:val="FirstParagraph"/>
      </w:pPr>
      <w:r>
        <w:t xml:space="preserve">The cost of orthodontic treatment in</w:t>
      </w:r>
    </w:p>
    <w:p>
      <w:pPr>
        <w:pStyle w:val="BodyText"/>
      </w:pPr>
      <w:r>
        <w:t xml:space="preserve">China Beijing&gt; varies widely depending on the technology used. While medical insurance coverage for cosmetic procedures remains limited, emerging health policies are beginning to recognize the therapeutic necessity of certain orthodontic interventions, potentially expanding accessibility for lower-income families.</w:t>
      </w:r>
    </w:p>
    <w:bookmarkEnd w:id="26"/>
    <w:bookmarkEnd w:id="27"/>
    <w:bookmarkStart w:id="28" w:name="recommendations"/>
    <w:p>
      <w:pPr>
        <w:pStyle w:val="Heading2"/>
      </w:pPr>
      <w:r>
        <w:t xml:space="preserve">6.0 Recommendations</w:t>
      </w:r>
    </w:p>
    <w:p>
      <w:pPr>
        <w:pStyle w:val="FirstParagraph"/>
      </w:pPr>
      <w:r>
        <w:t xml:space="preserve">Laboratory Report&gt;, we propose the following actions:</w:t>
      </w:r>
    </w:p>
    <w:p>
      <w:pPr>
        <w:numPr>
          <w:ilvl w:val="0"/>
          <w:numId w:val="1002"/>
        </w:numPr>
        <w:pStyle w:val="Compact"/>
      </w:pPr>
      <w:r>
        <w:t xml:space="preserve">Enhanced Training Programs:Create specialized workshops in</w:t>
      </w:r>
    </w:p>
    <w:p>
      <w:pPr>
        <w:numPr>
          <w:ilvl w:val="0"/>
          <w:numId w:val="1000"/>
        </w:numPr>
        <w:pStyle w:val="Compact"/>
      </w:pPr>
      <w:r>
        <w:t xml:space="preserve">China Beijing&gt; focused on digital orthodontics to ensure all practicing</w:t>
      </w:r>
    </w:p>
    <w:p>
      <w:pPr>
        <w:numPr>
          <w:ilvl w:val="0"/>
          <w:numId w:val="1000"/>
        </w:numPr>
        <w:pStyle w:val="Compact"/>
      </w:pPr>
      <w:r>
        <w:t xml:space="preserve">Orthodontist&gt; professionals are up-to-date with the latest technologies.</w:t>
      </w:r>
    </w:p>
    <w:p>
      <w:pPr>
        <w:numPr>
          <w:ilvl w:val="0"/>
          <w:numId w:val="1002"/>
        </w:numPr>
        <w:pStyle w:val="Compact"/>
      </w:pPr>
      <w:r>
        <w:t xml:space="preserve">Infrastructure Development:Invest in portable diagnostic tools to facilitate mobile orthodontic clinics in remote districts of</w:t>
      </w:r>
    </w:p>
    <w:p>
      <w:pPr>
        <w:numPr>
          <w:ilvl w:val="0"/>
          <w:numId w:val="1000"/>
        </w:numPr>
        <w:pStyle w:val="Compact"/>
      </w:pPr>
      <w:r>
        <w:t xml:space="preserve">China Beijing.</w:t>
      </w:r>
    </w:p>
    <w:bookmarkEnd w:id="28"/>
    <w:bookmarkStart w:id="29" w:name="conclusion"/>
    <w:p>
      <w:pPr>
        <w:pStyle w:val="Heading2"/>
      </w:pPr>
      <w:r>
        <w:t xml:space="preserve">7.0 Conclusion</w:t>
      </w:r>
    </w:p>
    <w:p>
      <w:pPr>
        <w:pStyle w:val="FirstParagraph"/>
      </w:pPr>
      <w:r>
        <w:t xml:space="preserve">This</w:t>
      </w:r>
    </w:p>
    <w:p>
      <w:pPr>
        <w:pStyle w:val="BodyText"/>
      </w:pPr>
      <w:r>
        <w:t xml:space="preserve">Laboratory Report&gt; provides a detailed examination of the orthodontic landscape within</w:t>
      </w:r>
    </w:p>
    <w:p>
      <w:pPr>
        <w:pStyle w:val="BodyText"/>
      </w:pPr>
      <w:r>
        <w:t xml:space="preserve">China Beijing&gt;. The findings underscore the importance of integrating advanced technology with patient-centric care models. As an essential medical professional, the</w:t>
      </w:r>
    </w:p>
    <w:p>
      <w:pPr>
        <w:pStyle w:val="BodyText"/>
      </w:pPr>
      <w:r>
        <w:t xml:space="preserve">Orthodontist&gt; plays a transformative role in improving quality of life for residents of</w:t>
      </w:r>
    </w:p>
    <w:p>
      <w:pPr>
        <w:pStyle w:val="BodyText"/>
      </w:pPr>
      <w:r>
        <w:t xml:space="preserve">China Beijing&gt;. By adhering to the recommendations outlined in this document, healthcare stakeholders can ensure that orthodontic services remain accessible, efficient, and effective. Future studies should focus on long-term longitudinal data to further refine these protocols.</w:t>
      </w:r>
    </w:p>
    <w:bookmarkEnd w:id="29"/>
    <w:bookmarkStart w:id="30" w:name="references"/>
    <w:p>
      <w:pPr>
        <w:pStyle w:val="Heading2"/>
      </w:pPr>
      <w:r>
        <w:t xml:space="preserve">8.0 References</w:t>
      </w:r>
    </w:p>
    <w:p>
      <w:pPr>
        <w:numPr>
          <w:ilvl w:val="0"/>
          <w:numId w:val="1003"/>
        </w:numPr>
        <w:pStyle w:val="Compact"/>
      </w:pPr>
      <w:r>
        <w:t xml:space="preserve">Peking University School of Stomatology Annual Review (2023).</w:t>
      </w:r>
    </w:p>
    <w:p>
      <w:pPr>
        <w:numPr>
          <w:ilvl w:val="0"/>
          <w:numId w:val="1003"/>
        </w:numPr>
        <w:pStyle w:val="Compact"/>
      </w:pPr>
      <w:r>
        <w:t xml:space="preserve">National Health Commission of the People's Republic of China: Dental Health Guidelines for Urban Centers.</w:t>
      </w:r>
    </w:p>
    <w:p>
      <w:pPr>
        <w:numPr>
          <w:ilvl w:val="0"/>
          <w:numId w:val="1003"/>
        </w:numPr>
        <w:pStyle w:val="Compact"/>
      </w:pPr>
      <w:r>
        <w:t xml:space="preserve">Journal of Orthodontic Research: Digital Transformations in Asian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Analysis and Strategic Implementation of Orthodontic Protocols in China, Beijing</dc:title>
  <dc:creator/>
  <cp:keywords/>
  <dcterms:created xsi:type="dcterms:W3CDTF">2026-07-29T08:59:01Z</dcterms:created>
  <dcterms:modified xsi:type="dcterms:W3CDTF">2026-07-29T08:59:01Z</dcterms:modified>
</cp:coreProperties>
</file>

<file path=docProps/custom.xml><?xml version="1.0" encoding="utf-8"?>
<Properties xmlns="http://schemas.openxmlformats.org/officeDocument/2006/custom-properties" xmlns:vt="http://schemas.openxmlformats.org/officeDocument/2006/docPropsVTypes"/>
</file>