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Orthodontic</w:t>
      </w:r>
      <w:r>
        <w:t xml:space="preserve"> </w:t>
      </w:r>
      <w:r>
        <w:t xml:space="preserve">Evaluation</w:t>
      </w:r>
      <w:r>
        <w:t xml:space="preserve"> </w:t>
      </w:r>
      <w:r>
        <w:t xml:space="preserve">and</w:t>
      </w:r>
      <w:r>
        <w:t xml:space="preserve"> </w:t>
      </w:r>
      <w:r>
        <w:t xml:space="preserve">Treatment</w:t>
      </w:r>
      <w:r>
        <w:t xml:space="preserve"> </w:t>
      </w:r>
      <w:r>
        <w:t xml:space="preserve">Plan:</w:t>
      </w:r>
      <w:r>
        <w:t xml:space="preserve"> </w:t>
      </w:r>
      <w:r>
        <w:t xml:space="preserve">Guangzhou</w:t>
      </w:r>
      <w:r>
        <w:t xml:space="preserve"> </w:t>
      </w:r>
      <w:r>
        <w:t xml:space="preserve">Special</w:t>
      </w:r>
      <w:r>
        <w:t xml:space="preserve"> </w:t>
      </w:r>
      <w:r>
        <w:t xml:space="preserve">Administrative</w:t>
      </w:r>
      <w:r>
        <w:t xml:space="preserve"> </w:t>
      </w:r>
      <w:r>
        <w:t xml:space="preserve">Region</w:t>
      </w:r>
    </w:p>
    <w:bookmarkStart w:id="29" w:name="X34f3d8482b8bcc2c4e527266b3d02fdd9e364d8"/>
    <w:p>
      <w:pPr>
        <w:pStyle w:val="Heading1"/>
      </w:pPr>
      <w:r>
        <w:t xml:space="preserve">Clinical Orthodontic Lab Report and Treatment Protocol</w:t>
      </w:r>
    </w:p>
    <w:p>
      <w:pPr>
        <w:pStyle w:val="FirstParagraph"/>
      </w:pPr>
      <w:r>
        <w:rPr>
          <w:bCs/>
          <w:b/>
        </w:rPr>
        <w:t xml:space="preserve">Date:</w:t>
      </w:r>
      <w:r>
        <w:t xml:space="preserve"> </w:t>
      </w:r>
      <w:r>
        <w:t xml:space="preserve">October 24, 2023</w:t>
      </w:r>
      <w:r>
        <w:br/>
      </w:r>
      <w:r>
        <w:rPr>
          <w:bCs/>
          <w:b/>
        </w:rPr>
        <w:t xml:space="preserve">Patient ID:</w:t>
      </w:r>
      <w:r>
        <w:t xml:space="preserve"> </w:t>
      </w:r>
      <w:r>
        <w:t xml:space="preserve">GZ-9982-Ortho</w:t>
      </w:r>
      <w:r>
        <w:br/>
      </w:r>
      <w:r>
        <w:rPr>
          <w:bCs/>
          <w:b/>
        </w:rPr>
        <w:t xml:space="preserve">Clinical Setting:</w:t>
      </w:r>
      <w:r>
        <w:t xml:space="preserve"> </w:t>
      </w:r>
      <w:r>
        <w:t xml:space="preserve">Advanced Dental Care Center, China Guangzhou</w:t>
      </w:r>
    </w:p>
    <w:bookmarkStart w:id="20" w:name="executive-summary"/>
    <w:p>
      <w:pPr>
        <w:pStyle w:val="Heading2"/>
      </w:pPr>
      <w:r>
        <w:t xml:space="preserve">1. Executive Summary</w:t>
      </w:r>
    </w:p>
    <w:p>
      <w:pPr>
        <w:pStyle w:val="FirstParagraph"/>
      </w:pPr>
      <w:r>
        <w:t xml:space="preserve">This laboratory report details the comprehensive orthodontic assessment, diagnostic modeling, and proposed treatment mechanics for a pediatric patient presenting with severe Class II malocclusion. The evaluation was conducted in strict adherence to the high clinical standards required by the dental regulatory bodies in China Guangzhou. The primary objective of this lab report is to document the cephalometric analysis, study model fabrication, and digital simulation results that form the basis of our orthodontic intervention plan.</w:t>
      </w:r>
    </w:p>
    <w:bookmarkEnd w:id="20"/>
    <w:bookmarkStart w:id="21" w:name="Xca64d760b68e7fb151c8195bb2d6448a8cb48a5"/>
    <w:p>
      <w:pPr>
        <w:pStyle w:val="Heading2"/>
      </w:pPr>
      <w:r>
        <w:t xml:space="preserve">2. Patient Demographics and Clinical History</w:t>
      </w:r>
    </w:p>
    <w:p>
      <w:pPr>
        <w:pStyle w:val="FirstParagraph"/>
      </w:pPr>
      <w:r>
        <w:t xml:space="preserve">The patient is a fourteen-year-old male resident of Tianhe District in China Guangzhou. He was referred by a general practitioner due to significant crowding, overjet protrusion, and mild skeletal discrepancy. The patient’s dental history indicates normal eruption patterns but with delayed retention of primary molars in the mandibular arch. There is no significant medical history or allergies reported. The family has expressed a strong preference for aesthetic appliances given the social environment typical of urban China Guangzhou, where cosmetic dentistry is highly valued.</w:t>
      </w:r>
    </w:p>
    <w:bookmarkEnd w:id="21"/>
    <w:bookmarkStart w:id="24" w:name="X3f1bc0b74ddacaef68b9e3ef4c8568d7e0063a1"/>
    <w:p>
      <w:pPr>
        <w:pStyle w:val="Heading2"/>
      </w:pPr>
      <w:r>
        <w:t xml:space="preserve">3. Diagnostic Data and Cephalometric Analysis</w:t>
      </w:r>
    </w:p>
    <w:p>
      <w:pPr>
        <w:pStyle w:val="FirstParagraph"/>
      </w:pPr>
      <w:r>
        <w:t xml:space="preserve">All diagnostic procedures, including panoramic radiographs and lateral cephalograms, were performed using digital sensors compliant with the radiation safety protocols established in China Guangzhou. The data was subsequently analyzed using CAD/CAM software integrated into our laboratory workflow.</w:t>
      </w:r>
    </w:p>
    <w:bookmarkStart w:id="22" w:name="cephalometric-measurements"/>
    <w:p>
      <w:pPr>
        <w:pStyle w:val="Heading3"/>
      </w:pPr>
      <w:r>
        <w:t xml:space="preserve">3.1 Cephalometric Measurements</w:t>
      </w:r>
    </w:p>
    <w:p>
      <w:pPr>
        <w:pStyle w:val="FirstParagraph"/>
      </w:pPr>
      <w:r>
        <w:t xml:space="preserve">The analysis revealed an ANB angle of 6 degrees, indicating a skeletal Class II relationship where the maxilla is prognathic relative to the mandible. The SNA angle measured 82 degrees, confirming maxillary protrusion, while the SNB angle was within normal limits at 79 degrees. The overjet was measured at 9mm, and the overbite covered 50% of the lower incisors. These findings necessitate a comprehensive orthodontic approach to correct both dental alignment and mild skeletal discrepancies.</w:t>
      </w:r>
    </w:p>
    <w:bookmarkEnd w:id="22"/>
    <w:bookmarkStart w:id="23" w:name="study-models"/>
    <w:p>
      <w:pPr>
        <w:pStyle w:val="Heading3"/>
      </w:pPr>
      <w:r>
        <w:t xml:space="preserve">3.2 Study Models</w:t>
      </w:r>
    </w:p>
    <w:p>
      <w:pPr>
        <w:pStyle w:val="FirstParagraph"/>
      </w:pPr>
      <w:r>
        <w:t xml:space="preserve">Digital impressions were taken using intraoral scanners, ensuring high precision for the fabrication of models in our laboratory in China Guangzhou. The models show significant crowding in the maxillary arch (7mm discrepancy) and moderate crowding in the mandibular arch (4mm discrepancy). The arch form is ovoid but constricted, requiring expansion prior to alignment.</w:t>
      </w:r>
    </w:p>
    <w:bookmarkEnd w:id="23"/>
    <w:bookmarkEnd w:id="24"/>
    <w:bookmarkStart w:id="25" w:name="laboratory-procedures"/>
    <w:p>
      <w:pPr>
        <w:pStyle w:val="Heading2"/>
      </w:pPr>
      <w:r>
        <w:t xml:space="preserve">4. Laboratory Procedures</w:t>
      </w:r>
    </w:p>
    <w:p>
      <w:pPr>
        <w:pStyle w:val="FirstParagraph"/>
      </w:pPr>
      <w:r>
        <w:t xml:space="preserve">The laboratory phase of this orthodontic case involved several critical steps executed in our facility located within China Guangzhou. Precision is paramount when dealing with complex malocclusions that require intricate wire bending and bracket placement.</w:t>
      </w:r>
    </w:p>
    <w:p>
      <w:pPr>
        <w:numPr>
          <w:ilvl w:val="0"/>
          <w:numId w:val="1001"/>
        </w:numPr>
        <w:pStyle w:val="Compact"/>
      </w:pPr>
      <w:r>
        <w:rPr>
          <w:bCs/>
          <w:b/>
        </w:rPr>
        <w:t xml:space="preserve">Digital Simulation:</w:t>
      </w:r>
      <w:r>
        <w:t xml:space="preserve"> </w:t>
      </w:r>
      <w:r>
        <w:t xml:space="preserve">Using the digital models, we simulated the tooth movement over an 18-month period. This allowed us to predict root parallelism and final occlusion.</w:t>
      </w:r>
    </w:p>
    <w:p>
      <w:pPr>
        <w:numPr>
          <w:ilvl w:val="0"/>
          <w:numId w:val="1001"/>
        </w:numPr>
        <w:pStyle w:val="Compact"/>
      </w:pPr>
      <w:r>
        <w:rPr>
          <w:bCs/>
          <w:b/>
        </w:rPr>
        <w:t xml:space="preserve">Prefabrication of Custom Appliance Tray:</w:t>
      </w:r>
      <w:r>
        <w:t xml:space="preserve"> </w:t>
      </w:r>
      <w:r>
        <w:t xml:space="preserve">A vacuum-formed retainer was designed for post-treatment retention, ensuring stability in the local humid climate of China Guangzhou where material degradation can be accelerated.</w:t>
      </w:r>
    </w:p>
    <w:p>
      <w:pPr>
        <w:numPr>
          <w:ilvl w:val="0"/>
          <w:numId w:val="1001"/>
        </w:numPr>
        <w:pStyle w:val="Compact"/>
      </w:pPr>
      <w:r>
        <w:rPr>
          <w:bCs/>
          <w:b/>
        </w:rPr>
        <w:t xml:space="preserve">Archwire Sequencing Planning:</w:t>
      </w:r>
      <w:r>
        <w:t xml:space="preserve"> </w:t>
      </w:r>
      <w:r>
        <w:t xml:space="preserve">We determined a sequence starting with flexible nickel-titanium wires to align teeth, transitioning to stainless steel for torque control, and finishing with clear aligners for fine tuning.</w:t>
      </w:r>
    </w:p>
    <w:bookmarkEnd w:id="25"/>
    <w:bookmarkStart w:id="26" w:name="proposed-orthodontic-treatment-plan"/>
    <w:p>
      <w:pPr>
        <w:pStyle w:val="Heading2"/>
      </w:pPr>
      <w:r>
        <w:t xml:space="preserve">5. Proposed Orthodontic Treatment Plan</w:t>
      </w:r>
    </w:p>
    <w:p>
      <w:pPr>
        <w:pStyle w:val="FirstParagraph"/>
      </w:pPr>
      <w:r>
        <w:t xml:space="preserve">Based on the diagnostic data and laboratory simulations, the following treatment protocol is recommended:</w:t>
      </w:r>
    </w:p>
    <w:p>
      <w:pPr>
        <w:numPr>
          <w:ilvl w:val="0"/>
          <w:numId w:val="1002"/>
        </w:numPr>
        <w:pStyle w:val="Compact"/>
      </w:pPr>
      <w:r>
        <w:rPr>
          <w:bCs/>
          <w:b/>
        </w:rPr>
        <w:t xml:space="preserve">Mechanical Therapy:</w:t>
      </w:r>
      <w:r>
        <w:t xml:space="preserve"> </w:t>
      </w:r>
      <w:r>
        <w:t xml:space="preserve">Placement of self-ligating brackets to reduce friction and treatment time. This method is particularly effective for patients in China Guangzhou due to its efficiency and reduced chairside adjustment time.</w:t>
      </w:r>
    </w:p>
    <w:p>
      <w:pPr>
        <w:numPr>
          <w:ilvl w:val="0"/>
          <w:numId w:val="1002"/>
        </w:numPr>
        <w:pStyle w:val="Compact"/>
      </w:pPr>
      <w:r>
        <w:rPr>
          <w:bCs/>
          <w:b/>
        </w:rPr>
        <w:t xml:space="preserve">Elastics Usage:</w:t>
      </w:r>
    </w:p>
    <w:p>
      <w:pPr>
        <w:numPr>
          <w:ilvl w:val="0"/>
          <w:numId w:val="1002"/>
        </w:numPr>
        <w:pStyle w:val="Compact"/>
      </w:pPr>
      <w:r>
        <w:rPr>
          <w:bCs/>
          <w:b/>
        </w:rPr>
        <w:t xml:space="preserve">Treatment Duration:</w:t>
      </w:r>
      <w:r>
        <w:t xml:space="preserve"> </w:t>
      </w:r>
      <w:r>
        <w:t xml:space="preserve">Estimated at 18 to 24 months. Regular monitoring appointments every four weeks are essential to monitor progress and adjust mechanics as needed.</w:t>
      </w:r>
    </w:p>
    <w:bookmarkEnd w:id="26"/>
    <w:bookmarkStart w:id="27" w:name="challenges-specific-to-the-region"/>
    <w:p>
      <w:pPr>
        <w:pStyle w:val="Heading2"/>
      </w:pPr>
      <w:r>
        <w:t xml:space="preserve">6. Challenges Specific to the Region</w:t>
      </w:r>
    </w:p>
    <w:p>
      <w:pPr>
        <w:pStyle w:val="FirstParagraph"/>
      </w:pPr>
      <w:r>
        <w:t xml:space="preserve">Clinicians treating orthodontic cases in China Guangzhou must consider specific environmental and cultural factors. The high humidity typical of southern China can affect adhesion materials if not properly controlled during bracket bonding. Furthermore, dietary habits in China Guangzhou often involve sticky rice products and sugary beverages, which increase the risk of decalcification around brackets. Therefore, rigorous oral hygiene instruction is a critical component of this lab report's recommendations.</w:t>
      </w:r>
    </w:p>
    <w:bookmarkEnd w:id="27"/>
    <w:bookmarkStart w:id="28" w:name="conclusion-and-recommendations"/>
    <w:p>
      <w:pPr>
        <w:pStyle w:val="Heading2"/>
      </w:pPr>
      <w:r>
        <w:t xml:space="preserve">7. Conclusion and Recommendations</w:t>
      </w:r>
    </w:p>
    <w:p>
      <w:pPr>
        <w:pStyle w:val="FirstParagraph"/>
      </w:pPr>
      <w:r>
        <w:t xml:space="preserve">This lab report confirms that the patient’s malocclusion is treatable with conventional fixed orthodontics combined with minor skeletal corrections. The successful outcome relies on precise laboratory fabrication of appliances and strict adherence to the treatment timeline by both the orthodontist in China Guangzhou and the patient.</w:t>
      </w:r>
    </w:p>
    <w:p>
      <w:pPr>
        <w:pStyle w:val="BodyText"/>
      </w:pPr>
      <w:r>
        <w:t xml:space="preserve">We recommend proceeding immediately with bracket bonding following a prophylactic cleaning. Retention protocols must be emphasized, especially given the long-term stability concerns associated with adult growth cessation. The final results should demonstrate not only improved dental aesthetics but also enhanced functional occlusion, meeting the high standards of patient satisfaction expected in the modern healthcare landscape of China Guangzhou.</w:t>
      </w:r>
    </w:p>
    <w:p>
      <w:pPr>
        <w:pStyle w:val="BodyText"/>
      </w:pPr>
      <w:r>
        <w:rPr>
          <w:iCs/>
          <w:i/>
        </w:rPr>
        <w:t xml:space="preserve">This document serves as an official record for clinical review and insurance processing within the regional healthcare network.</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Orthodontic Evaluation and Treatment Plan: Guangzhou Special Administrative Region</dc:title>
  <dc:creator/>
  <dc:language>en</dc:language>
  <cp:keywords/>
  <dcterms:created xsi:type="dcterms:W3CDTF">2026-07-29T14:05:15Z</dcterms:created>
  <dcterms:modified xsi:type="dcterms:W3CDTF">2026-07-29T14:05:15Z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