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Assessment</w:t>
      </w:r>
      <w:r>
        <w:t xml:space="preserve"> </w:t>
      </w:r>
      <w:r>
        <w:t xml:space="preserve">in</w:t>
      </w:r>
      <w:r>
        <w:t xml:space="preserve"> </w:t>
      </w:r>
      <w:r>
        <w:t xml:space="preserve">Egypt</w:t>
      </w:r>
      <w:r>
        <w:t xml:space="preserve"> </w:t>
      </w:r>
      <w:r>
        <w:t xml:space="preserve">Alexandria</w:t>
      </w:r>
    </w:p>
    <w:bookmarkStart w:id="33" w:name="X8448581ac9586b345c571904fc416e9dd69e9cf"/>
    <w:p>
      <w:pPr>
        <w:pStyle w:val="Heading1"/>
      </w:pPr>
      <w:r>
        <w:t xml:space="preserve">Clinical Laboratory Report: Orthodontic Treatment Protocol</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Advanced Dental Care Center of Alexandria</w:t>
      </w:r>
    </w:p>
    <w:p>
      <w:pPr>
        <w:pStyle w:val="BodyText"/>
      </w:pPr>
      <w:r>
        <w:rPr>
          <w:bCs/>
          <w:b/>
        </w:rPr>
        <w:t xml:space="preserve">Patient ID:</w:t>
      </w:r>
      <w:r>
        <w:t xml:space="preserve"> </w:t>
      </w:r>
      <w:r>
        <w:t xml:space="preserve">ALEX-ORTHO-2023-X99</w:t>
      </w:r>
    </w:p>
    <w:p>
      <w:pPr>
        <w:pStyle w:val="BodyText"/>
      </w:pPr>
      <w:r>
        <w:rPr>
          <w:bCs/>
          <w:b/>
        </w:rPr>
        <w:t xml:space="preserve">Sector:</w:t>
      </w:r>
      <w:r>
        <w:t xml:space="preserve"> </w:t>
      </w:r>
      <w:r>
        <w:t xml:space="preserve">Egypt Alexandria Region</w:t>
      </w:r>
    </w:p>
    <w:bookmarkStart w:id="20" w:name="Xf76d0d9874a2e24cdda22a3912914b5960263d2"/>
    <w:p>
      <w:pPr>
        <w:pStyle w:val="Heading2"/>
      </w:pPr>
      <w:r>
        <w:t xml:space="preserve">1. Executive Summary and Contextual Background</w:t>
      </w:r>
    </w:p>
    <w:p>
      <w:pPr>
        <w:pStyle w:val="FirstParagraph"/>
      </w:pPr>
      <w:r>
        <w:t xml:space="preserve">This comprehensive Lab Report details the diagnostic findings, clinical observations, and therapeutic recommendations for a complex orthodontic case situated within the vibrant healthcare landscape of</w:t>
      </w:r>
      <w:r>
        <w:t xml:space="preserve"> </w:t>
      </w:r>
      <w:r>
        <w:rPr>
          <w:bCs/>
          <w:b/>
        </w:rPr>
        <w:t xml:space="preserve">Egypt Alexandria</w:t>
      </w:r>
      <w:r>
        <w:t xml:space="preserve">. The purpose of this document is to provide a rigorous scientific analysis of dental malocclusions observed in patients residing in this historic Mediterranean city. As Alexandria serves as a major hub for medical tourism and advanced clinical services in North Africa, understanding local demographic patterns regarding orthodontic needs is crucial.</w:t>
      </w:r>
    </w:p>
    <w:p>
      <w:pPr>
        <w:pStyle w:val="BodyText"/>
      </w:pPr>
      <w:r>
        <w:t xml:space="preserve">The report specifically focuses on the integration of modern</w:t>
      </w:r>
      <w:r>
        <w:t xml:space="preserve"> </w:t>
      </w:r>
      <w:r>
        <w:rPr>
          <w:bCs/>
          <w:b/>
        </w:rPr>
        <w:t xml:space="preserve">Orthodontist</w:t>
      </w:r>
      <w:r>
        <w:t xml:space="preserve"> </w:t>
      </w:r>
      <w:r>
        <w:t xml:space="preserve">protocols with traditional diagnostic methods. In the context of</w:t>
      </w:r>
      <w:r>
        <w:t xml:space="preserve"> </w:t>
      </w:r>
      <w:r>
        <w:rPr>
          <w:bCs/>
          <w:b/>
        </w:rPr>
        <w:t xml:space="preserve">Egypt Alexandria</w:t>
      </w:r>
      <w:r>
        <w:t xml:space="preserve">, where climate conditions and dietary habits can influence oral health, this lab report aims to bridge the gap between theoretical orthodontic science and practical application. The data presented herein has been gathered through extensive clinical trials and patient assessments conducted across various clinics in downtown Alexandria and the Smouha district.</w:t>
      </w:r>
    </w:p>
    <w:bookmarkEnd w:id="20"/>
    <w:bookmarkStart w:id="23" w:name="diagnostic-methodology"/>
    <w:p>
      <w:pPr>
        <w:pStyle w:val="Heading2"/>
      </w:pPr>
      <w:r>
        <w:t xml:space="preserve">2. Diagnostic Methodology</w:t>
      </w:r>
    </w:p>
    <w:p>
      <w:pPr>
        <w:pStyle w:val="FirstParagraph"/>
      </w:pPr>
      <w:r>
        <w:t xml:space="preserve">To ensure accuracy, a multi-modal diagnostic approach was utilized. This section outlines the specific laboratory tests and imaging techniques employed to analyze skeletal and dental structures.</w:t>
      </w:r>
    </w:p>
    <w:bookmarkStart w:id="21" w:name="imaging-analysis"/>
    <w:p>
      <w:pPr>
        <w:pStyle w:val="Heading3"/>
      </w:pPr>
      <w:r>
        <w:t xml:space="preserve">2.1 Imaging Analysis</w:t>
      </w:r>
    </w:p>
    <w:p>
      <w:pPr>
        <w:pStyle w:val="FirstParagraph"/>
      </w:pPr>
      <w:r>
        <w:t xml:space="preserve">Cephalometric analysis was performed using lateral cephalograms to assess the skeletal base relationship of patients in</w:t>
      </w:r>
      <w:r>
        <w:t xml:space="preserve"> </w:t>
      </w:r>
      <w:r>
        <w:rPr>
          <w:bCs/>
          <w:b/>
        </w:rPr>
        <w:t xml:space="preserve">Egypt Alexandria</w:t>
      </w:r>
      <w:r>
        <w:t xml:space="preserve">. The images were digitized and analyzed using specialized software commonly used by a certified</w:t>
      </w:r>
      <w:r>
        <w:t xml:space="preserve"> </w:t>
      </w:r>
      <w:r>
        <w:rPr>
          <w:bCs/>
          <w:b/>
        </w:rPr>
        <w:t xml:space="preserve">Orthodontist</w:t>
      </w:r>
      <w:r>
        <w:t xml:space="preserve">. Key measurements included the SNA (Sella-Nasion-A point), SNB (Sella-Nasion-B point), and ANB angle differences to determine if the malocclusion was skeletal or dental in origin.</w:t>
      </w:r>
    </w:p>
    <w:bookmarkEnd w:id="21"/>
    <w:bookmarkStart w:id="22" w:name="digital-impressions-and-modeling"/>
    <w:p>
      <w:pPr>
        <w:pStyle w:val="Heading3"/>
      </w:pPr>
      <w:r>
        <w:t xml:space="preserve">2.2 Digital Impressions and Modeling</w:t>
      </w:r>
    </w:p>
    <w:p>
      <w:pPr>
        <w:pStyle w:val="FirstParagraph"/>
      </w:pPr>
      <w:r>
        <w:t xml:space="preserve">In alignment with modern standards, traditional alginate impressions were supplemented by intraoral digital scanning. These 3D models allow for precise measurement of arch length discrepancies and space analysis, which is critical when planning treatment in the dense urban environment of</w:t>
      </w:r>
      <w:r>
        <w:t xml:space="preserve"> </w:t>
      </w:r>
      <w:r>
        <w:rPr>
          <w:bCs/>
          <w:b/>
        </w:rPr>
        <w:t xml:space="preserve">Egypt Alexandria</w:t>
      </w:r>
      <w:r>
        <w:t xml:space="preserve">. The lab reports generated from these scans provide a baseline for tracking tooth movement over time.</w:t>
      </w:r>
    </w:p>
    <w:bookmarkEnd w:id="22"/>
    <w:bookmarkEnd w:id="23"/>
    <w:bookmarkStart w:id="24" w:name="X4539af702dc905787462ecee1961211b5f100b9"/>
    <w:p>
      <w:pPr>
        <w:pStyle w:val="Heading2"/>
      </w:pPr>
      <w:r>
        <w:t xml:space="preserve">3. Clinical Observations and Patient Demographics</w:t>
      </w:r>
    </w:p>
    <w:p>
      <w:pPr>
        <w:pStyle w:val="FirstParagraph"/>
      </w:pPr>
      <w:r>
        <w:t xml:space="preserve">The study population consisted of 150 patients aged between 10 and 45 years, residing primarily within the governorate of Alexandria. The following observations were recorded during the initial consultation phase:</w:t>
      </w:r>
    </w:p>
    <w:p>
      <w:pPr>
        <w:numPr>
          <w:ilvl w:val="0"/>
          <w:numId w:val="1001"/>
        </w:numPr>
        <w:pStyle w:val="Compact"/>
      </w:pPr>
      <w:r>
        <w:rPr>
          <w:bCs/>
          <w:b/>
        </w:rPr>
        <w:t xml:space="preserve">Crowding Severity:</w:t>
      </w:r>
      <w:r>
        <w:t xml:space="preserve"> </w:t>
      </w:r>
      <w:r>
        <w:t xml:space="preserve">Approximately 65% of patients presented with moderate to severe crowding, a common finding often exacerbated by early childhood dietary changes in the region.</w:t>
      </w:r>
    </w:p>
    <w:p>
      <w:pPr>
        <w:numPr>
          <w:ilvl w:val="0"/>
          <w:numId w:val="1001"/>
        </w:numPr>
        <w:pStyle w:val="Compact"/>
      </w:pPr>
      <w:r>
        <w:rPr>
          <w:bCs/>
          <w:b/>
        </w:rPr>
        <w:t xml:space="preserve">Skeletal Patterns:</w:t>
      </w:r>
      <w:r>
        <w:t xml:space="preserve"> </w:t>
      </w:r>
      <w:r>
        <w:t xml:space="preserve">A significant portion of the Alexandria demographic exhibited Class II skeletal patterns, requiring careful planning by the attending</w:t>
      </w:r>
      <w:r>
        <w:t xml:space="preserve"> </w:t>
      </w:r>
      <w:r>
        <w:rPr>
          <w:bCs/>
          <w:b/>
        </w:rPr>
        <w:t xml:space="preserve">Orthodontist</w:t>
      </w:r>
      <w:r>
        <w:t xml:space="preserve">.</w:t>
      </w:r>
    </w:p>
    <w:p>
      <w:pPr>
        <w:numPr>
          <w:ilvl w:val="0"/>
          <w:numId w:val="1001"/>
        </w:numPr>
        <w:pStyle w:val="Compact"/>
      </w:pPr>
      <w:r>
        <w:rPr>
          <w:bCs/>
          <w:b/>
        </w:rPr>
        <w:t xml:space="preserve">Aesthetic Concerns:</w:t>
      </w:r>
      <w:r>
        <w:t xml:space="preserve"> </w:t>
      </w:r>
      <w:r>
        <w:t xml:space="preserve">Patient feedback indicated a high priority on aesthetic outcomes, driving demand for clear aligner therapies alongside traditional fixed appliances.</w:t>
      </w:r>
    </w:p>
    <w:p>
      <w:pPr>
        <w:pStyle w:val="FirstParagraph"/>
      </w:pPr>
      <w:r>
        <w:t xml:space="preserve">The unique geographic location of</w:t>
      </w:r>
      <w:r>
        <w:t xml:space="preserve"> </w:t>
      </w:r>
      <w:r>
        <w:rPr>
          <w:bCs/>
          <w:b/>
        </w:rPr>
        <w:t xml:space="preserve">Egypt Alexandria</w:t>
      </w:r>
      <w:r>
        <w:t xml:space="preserve">, with its coastal humidity, can sometimes affect the adhesion properties of certain orthodontic materials. Therefore, this lab report includes a subsection on material compatibility in humid environments to ensure treatment longevity.</w:t>
      </w:r>
    </w:p>
    <w:bookmarkEnd w:id="24"/>
    <w:bookmarkStart w:id="25" w:name="laboratory-analysis-results"/>
    <w:p>
      <w:pPr>
        <w:pStyle w:val="Heading2"/>
      </w:pPr>
      <w:r>
        <w:t xml:space="preserve">4. Laboratory Analysis Results</w:t>
      </w:r>
    </w:p>
    <w:p>
      <w:pPr>
        <w:pStyle w:val="FirstParagraph"/>
      </w:pPr>
      <w:r>
        <w:t xml:space="preserve">The core findings from the laboratory analysis are presented below. These results form the basis for the recommended treatment plan.</w:t>
      </w:r>
    </w:p>
    <w:p>
      <w:pPr>
        <w:pStyle w:val="BodyText"/>
      </w:pPr>
      <w:r>
        <w:t xml:space="preserve">Metric</w:t>
      </w:r>
    </w:p>
    <w:p>
      <w:pPr>
        <w:pStyle w:val="BodyText"/>
      </w:pPr>
      <w:r>
        <w:t xml:space="preserve">Average Value (Alexandria Cohort)</w:t>
      </w:r>
    </w:p>
    <w:p>
      <w:pPr>
        <w:pStyle w:val="BodyText"/>
      </w:pPr>
      <w:r>
        <w:t xml:space="preserve">Clinical Significance</w:t>
      </w:r>
    </w:p>
    <w:p>
      <w:pPr>
        <w:pStyle w:val="BodyText"/>
      </w:pPr>
      <w:r>
        <w:t xml:space="preserve">SNA Angle</w:t>
      </w:r>
    </w:p>
    <w:p>
      <w:pPr>
        <w:pStyle w:val="BodyText"/>
      </w:pPr>
      <w:r>
        <w:t xml:space="preserve">80.5 degrees</w:t>
      </w:r>
    </w:p>
    <w:p>
      <w:pPr>
        <w:pStyle w:val="BodyText"/>
      </w:pPr>
      <w:r>
        <w:t xml:space="preserve">Slight prognathic tendency common in local genetics.</w:t>
      </w:r>
    </w:p>
    <w:p>
      <w:pPr>
        <w:pStyle w:val="BodyText"/>
      </w:pPr>
      <w:r>
        <w:br/>
      </w:r>
      <w:r>
        <w:t xml:space="preserve">&lt; tr &gt;&lt; td &gt; SNB Angle &lt; td &gt; 78.2 degrees &lt; td &gt; Retrognathic mandible noted in 40% of cases requiring growth modification.</w:t>
      </w:r>
    </w:p>
    <w:p>
      <w:pPr>
        <w:pStyle w:val="BodyText"/>
      </w:pPr>
      <w:r>
        <w:t xml:space="preserve">Overjet</w:t>
      </w:r>
    </w:p>
    <w:p>
      <w:pPr>
        <w:pStyle w:val="BodyText"/>
      </w:pPr>
      <w:r>
        <w:t xml:space="preserve">5.2 mm</w:t>
      </w:r>
    </w:p>
    <w:p>
      <w:pPr>
        <w:pStyle w:val="BodyText"/>
      </w:pPr>
      <w:r>
        <w:t xml:space="preserve">Mild to moderate protrusion, often corrected via extraction therapy or distalization.</w:t>
      </w:r>
    </w:p>
    <w:p>
      <w:pPr>
        <w:pStyle w:val="BodyText"/>
      </w:pPr>
      <w:r>
        <w:br/>
      </w:r>
    </w:p>
    <w:p>
      <w:pPr>
        <w:pStyle w:val="BodyText"/>
      </w:pPr>
      <w:r>
        <w:t xml:space="preserve">These statistical averages highlight the specific challenges an</w:t>
      </w:r>
      <w:r>
        <w:t xml:space="preserve"> </w:t>
      </w:r>
      <w:r>
        <w:rPr>
          <w:bCs/>
          <w:b/>
        </w:rPr>
        <w:t xml:space="preserve">Orthodontist</w:t>
      </w:r>
      <w:r>
        <w:t xml:space="preserve"> </w:t>
      </w:r>
      <w:r>
        <w:t xml:space="preserve">faces when practicing in this region. Unlike populations with different genetic backgrounds, the Alexandria patient base presents a distinct set of cephalometric norms that must be respected in treatment planning.</w:t>
      </w:r>
    </w:p>
    <w:bookmarkEnd w:id="25"/>
    <w:bookmarkStart w:id="29" w:name="treatment-recommendations"/>
    <w:p>
      <w:pPr>
        <w:pStyle w:val="Heading2"/>
      </w:pPr>
      <w:r>
        <w:t xml:space="preserve">5. Treatment Recommendations</w:t>
      </w:r>
    </w:p>
    <w:p>
      <w:pPr>
        <w:pStyle w:val="FirstParagraph"/>
      </w:pPr>
      <w:r>
        <w:t xml:space="preserve">Based on the laboratory data, several treatment pathways are recommended for patients in</w:t>
      </w:r>
      <w:r>
        <w:t xml:space="preserve"> </w:t>
      </w:r>
      <w:r>
        <w:rPr>
          <w:bCs/>
          <w:b/>
        </w:rPr>
        <w:t xml:space="preserve">Egypt Alexandria</w:t>
      </w:r>
      <w:r>
        <w:t xml:space="preserve">.</w:t>
      </w:r>
    </w:p>
    <w:bookmarkStart w:id="26" w:name="a.-fixed-appliance-therapy-braces"/>
    <w:p>
      <w:pPr>
        <w:pStyle w:val="Heading3"/>
      </w:pPr>
      <w:r>
        <w:t xml:space="preserve">A. Fixed Appliance Therapy (Braces)</w:t>
      </w:r>
    </w:p>
    <w:p>
      <w:pPr>
        <w:pStyle w:val="FirstParagraph"/>
      </w:pPr>
      <w:r>
        <w:t xml:space="preserve">This remains the gold standard for complex cases. The lab report suggests using stainless steel or ceramic brackets with high-torque prescription wires to control root movement effectively, particularly in patients with severe crowding.</w:t>
      </w:r>
    </w:p>
    <w:bookmarkEnd w:id="26"/>
    <w:bookmarkStart w:id="27" w:name="b.-clear-aligner-therapy"/>
    <w:p>
      <w:pPr>
        <w:pStyle w:val="Heading3"/>
      </w:pPr>
      <w:r>
        <w:t xml:space="preserve">B. Clear Aligner Therapy</w:t>
      </w:r>
    </w:p>
    <w:p>
      <w:pPr>
        <w:pStyle w:val="FirstParagraph"/>
      </w:pPr>
      <w:r>
        <w:t xml:space="preserve">Growing demand exists for invisible orthodontics among adults in Alexandria. This lab report recommends a hybrid approach where clear aligners are used for mild to moderate cases, while complex movements still require fixed appliances.</w:t>
      </w:r>
    </w:p>
    <w:bookmarkEnd w:id="27"/>
    <w:bookmarkStart w:id="28" w:name="X25a7151115828aa45d8d8f46a1766d8519be16c"/>
    <w:p>
      <w:pPr>
        <w:pStyle w:val="Heading3"/>
      </w:pPr>
      <w:r>
        <w:t xml:space="preserve">C. Growth Modification (For Pediatric Patients)</w:t>
      </w:r>
    </w:p>
    <w:p>
      <w:pPr>
        <w:pStyle w:val="FirstParagraph"/>
      </w:pPr>
      <w:r>
        <w:t xml:space="preserve">For younger patients in the Alexandria region, functional appliances may be recommended to address skeletal discrepancies early. The timing of intervention is critical and should align with the patient's growth spurt, which varies individually.</w:t>
      </w:r>
    </w:p>
    <w:bookmarkEnd w:id="28"/>
    <w:bookmarkEnd w:id="29"/>
    <w:bookmarkStart w:id="30" w:name="X9c2a62eb0d1047ca1ac7c58806b1831641ba7b1"/>
    <w:p>
      <w:pPr>
        <w:pStyle w:val="Heading2"/>
      </w:pPr>
      <w:r>
        <w:t xml:space="preserve">6. Environmental and Material Considerations in Egypt Alexandria</w:t>
      </w:r>
    </w:p>
    <w:p>
      <w:pPr>
        <w:pStyle w:val="FirstParagraph"/>
      </w:pPr>
      <w:r>
        <w:t xml:space="preserve">A unique aspect of this lab report is the consideration of local environmental factors. The high humidity levels typical of coastal Alexandria can impact the setting time of certain impression materials and the bonding strength of adhesives.</w:t>
      </w:r>
    </w:p>
    <w:p>
      <w:pPr>
        <w:pStyle w:val="BodyText"/>
      </w:pPr>
      <w:r>
        <w:t xml:space="preserve">The laboratory has tested various adhesive systems under simulated Alexandria climate conditions (high relative humidity). Results indicate that light-cured composites with specific activators provide superior bond strength in humid environments compared to traditional chemical-cure systems. It is therefore recommended that every</w:t>
      </w:r>
      <w:r>
        <w:t xml:space="preserve"> </w:t>
      </w:r>
      <w:r>
        <w:rPr>
          <w:bCs/>
          <w:b/>
        </w:rPr>
        <w:t xml:space="preserve">Orthodontist</w:t>
      </w:r>
      <w:r>
        <w:t xml:space="preserve"> </w:t>
      </w:r>
      <w:r>
        <w:t xml:space="preserve">operating in this region adapts their material selection to account for these atmospheric conditions.</w:t>
      </w:r>
    </w:p>
    <w:bookmarkEnd w:id="30"/>
    <w:bookmarkStart w:id="32" w:name="conclusion-and-future-outlook"/>
    <w:p>
      <w:pPr>
        <w:pStyle w:val="Heading2"/>
      </w:pPr>
      <w:r>
        <w:t xml:space="preserve">7. Conclusion and Future Outlook</w:t>
      </w:r>
    </w:p>
    <w:p>
      <w:pPr>
        <w:pStyle w:val="FirstParagraph"/>
      </w:pPr>
      <w:r>
        <w:t xml:space="preserve">This Lab Report confirms that orthodontic treatment in</w:t>
      </w:r>
      <w:r>
        <w:t xml:space="preserve"> </w:t>
      </w:r>
      <w:r>
        <w:rPr>
          <w:bCs/>
          <w:b/>
        </w:rPr>
        <w:t xml:space="preserve">Egypt Alexandria</w:t>
      </w:r>
      <w:r>
        <w:t xml:space="preserve"> </w:t>
      </w:r>
      <w:r>
        <w:t xml:space="preserve">requires a nuanced approach that combines global best practices with local adaptations. The data gathered supports the efficacy of customized treatment plans tailored to the specific cephalometric profiles of patients in this region.</w:t>
      </w:r>
    </w:p>
    <w:bookmarkStart w:id="31" w:name="final-verdict"/>
    <w:p>
      <w:pPr>
        <w:pStyle w:val="Heading3"/>
      </w:pPr>
      <w:r>
        <w:t xml:space="preserve">Final Verdict</w:t>
      </w:r>
    </w:p>
    <w:p>
      <w:pPr>
        <w:pStyle w:val="FirstParagraph"/>
      </w:pPr>
      <w:r>
        <w:t xml:space="preserve">The integration of advanced diagnostic technology, climate-aware material selection, and personalized care strategies is essential for success. The role of the expert</w:t>
      </w:r>
      <w:r>
        <w:t xml:space="preserve"> </w:t>
      </w:r>
      <w:r>
        <w:rPr>
          <w:bCs/>
          <w:b/>
        </w:rPr>
        <w:t xml:space="preserve">Orthodontist</w:t>
      </w:r>
      <w:r>
        <w:t xml:space="preserve"> </w:t>
      </w:r>
      <w:r>
        <w:t xml:space="preserve">in this setting extends beyond mere tooth alignment; it involves a holistic understanding of the patient's anatomical heritage and environmental context. Future studies should focus on long-term stability outcomes for patients treated under these specific Alexandria protocols.</w:t>
      </w:r>
    </w:p>
    <w:bookmarkEnd w:id="31"/>
    <w:p>
      <w:pPr>
        <w:pStyle w:val="BodyText"/>
      </w:pPr>
      <w:r>
        <w:t xml:space="preserve">In summary, this document serves as a critical reference for dental professionals seeking to optimize orthodontic care in Egypt Alexandria. By adhering to the findings outlined in this lab report, practitioners can ensure high standards of care, improved patient satisfaction, and better clinical outcomes for the community.</w:t>
      </w:r>
    </w:p>
    <w:p>
      <w:r>
        <w:pict>
          <v:rect style="width:0;height:1.5pt" o:hralign="center" o:hrstd="t" o:hr="t"/>
        </w:pict>
      </w:r>
    </w:p>
    <w:p>
      <w:pPr>
        <w:pStyle w:val="FirstParagraph"/>
      </w:pPr>
      <w:r>
        <w:rPr>
          <w:iCs/>
          <w:i/>
        </w:rPr>
        <w:t xml:space="preserve">Disclaimer: This is a generated sample document for illustrative purposes. Clinical decisions should always be based on direct patient examination and professional judgment.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Assessment in Egypt Alexandria</dc:title>
  <dc:creator/>
  <dc:language>en</dc:language>
  <cp:keywords/>
  <dcterms:created xsi:type="dcterms:W3CDTF">2026-07-29T22:31:49Z</dcterms:created>
  <dcterms:modified xsi:type="dcterms:W3CDTF">2026-07-29T22:31:49Z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