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Assessment</w:t>
      </w:r>
      <w:r>
        <w:t xml:space="preserve"> </w:t>
      </w:r>
      <w:r>
        <w:t xml:space="preserve">and</w:t>
      </w:r>
      <w:r>
        <w:t xml:space="preserve"> </w:t>
      </w:r>
      <w:r>
        <w:t xml:space="preserve">Treatment</w:t>
      </w:r>
      <w:r>
        <w:t xml:space="preserve"> </w:t>
      </w:r>
      <w:r>
        <w:t xml:space="preserve">Planning</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clinical-lab-report-reference-document"/>
    <w:p>
      <w:pPr>
        <w:pStyle w:val="Heading1"/>
      </w:pPr>
      <w:r>
        <w:t xml:space="preserve">Clinical Lab Report Reference Document</w:t>
      </w:r>
    </w:p>
    <w:p>
      <w:pPr>
        <w:pStyle w:val="FirstParagraph"/>
      </w:pPr>
      <w:r>
        <w:rPr>
          <w:bCs/>
          <w:b/>
        </w:rPr>
        <w:t xml:space="preserve">District:</w:t>
      </w:r>
      <w:r>
        <w:t xml:space="preserve"> </w:t>
      </w:r>
      <w:r>
        <w:t xml:space="preserve">New Zealand Auckland</w:t>
      </w:r>
      <w:r>
        <w:br/>
      </w:r>
      <w:r>
        <w:rPr>
          <w:bCs/>
          <w:b/>
        </w:rPr>
        <w:t xml:space="preserve">Specialty Focus:</w:t>
      </w:r>
      <w:r>
        <w:t xml:space="preserve"> </w:t>
      </w:r>
      <w:r>
        <w:t xml:space="preserve">Orthodontist</w:t>
      </w:r>
      <w:r>
        <w:br/>
      </w:r>
      <w:r>
        <w:rPr>
          <w:bCs/>
          <w:b/>
        </w:rPr>
        <w:t xml:space="preserve">Date of Issue:</w:t>
      </w:r>
      <w:r>
        <w:t xml:space="preserve"> </w:t>
      </w:r>
      <w:r>
        <w:t xml:space="preserve">October 2023</w:t>
      </w:r>
      <w:r>
        <w:br/>
      </w:r>
    </w:p>
    <w:p>
      <w:pPr>
        <w:pStyle w:val="BodyText"/>
      </w:pPr>
      <w:r>
        <w:t xml:space="preserve">Status:</w:t>
      </w:r>
    </w:p>
    <w:bookmarkEnd w:id="20"/>
    <w:bookmarkStart w:id="21" w:name="executive-summary-and-introduction"/>
    <w:p>
      <w:pPr>
        <w:pStyle w:val="Heading2"/>
      </w:pPr>
      <w:r>
        <w:t xml:space="preserve">1. Executive Summary and Introduction</w:t>
      </w:r>
    </w:p>
    <w:p>
      <w:pPr>
        <w:pStyle w:val="FirstParagraph"/>
      </w:pPr>
      <w:r>
        <w:t xml:space="preserve">This comprehensive documentation serves as a foundational guide for clinical standards, patient assessment protocols, and treatment planning frameworks utilized by an experienced</w:t>
      </w:r>
      <w:r>
        <w:t xml:space="preserve"> </w:t>
      </w:r>
      <w:hyperlink w:anchor="orthodontist-link">
        <w:r>
          <w:rPr>
            <w:rStyle w:val="Hyperlink"/>
            <w:bCs/>
            <w:b/>
          </w:rPr>
          <w:t xml:space="preserve">Orthodontist</w:t>
        </w:r>
      </w:hyperlink>
      <w:r>
        <w:t xml:space="preserve"> </w:t>
      </w:r>
      <w:r>
        <w:t xml:space="preserve">operating within the healthcare ecosystem of</w:t>
      </w:r>
      <w:r>
        <w:t xml:space="preserve"> </w:t>
      </w:r>
      <w:r>
        <w:rPr>
          <w:bCs/>
          <w:b/>
        </w:rPr>
        <w:t xml:space="preserve">New Zealand Auckland</w:t>
      </w:r>
      <w:r>
        <w:t xml:space="preserve">. As the largest city in New Zealand, Auckland presents a unique demographic landscape with diverse dental needs ranging from complex skeletal malocclusions to cosmetic alignment corrections. This report outlines the critical methodologies required to maintain high-quality care standards specific to this region, ensuring that every patient receives evidence-based treatment aligned with local regulatory frameworks.</w:t>
      </w:r>
    </w:p>
    <w:bookmarkEnd w:id="21"/>
    <w:bookmarkStart w:id="22" w:name="Xc37b81cba2c80b64c1a07c01ecbe85d25c80cd3"/>
    <w:p>
      <w:pPr>
        <w:pStyle w:val="Heading2"/>
      </w:pPr>
      <w:r>
        <w:t xml:space="preserve">2. Regional Context: Healthcare in New Zealand Auckland</w:t>
      </w:r>
    </w:p>
    <w:p>
      <w:pPr>
        <w:pStyle w:val="FirstParagraph"/>
      </w:pPr>
      <w:r>
        <w:t xml:space="preserve">The healthcare infrastructure in</w:t>
      </w:r>
      <w:r>
        <w:t xml:space="preserve"> </w:t>
      </w:r>
      <w:r>
        <w:rPr>
          <w:bCs/>
          <w:b/>
        </w:rPr>
        <w:t xml:space="preserve">New Zealand Auckland</w:t>
      </w:r>
      <w:r>
        <w:t xml:space="preserve"> </w:t>
      </w:r>
      <w:r>
        <w:t xml:space="preserve">is characterized by a mixed public and private model. For an independent practice or a specialist clinic, understanding the local context is vital. The population of Auckland includes significant multicultural communities, requiring culturally sensitive communication and diverse treatment options that accommodate various socioeconomic backgrounds.</w:t>
      </w:r>
    </w:p>
    <w:p>
      <w:pPr>
        <w:pStyle w:val="BodyText"/>
      </w:pPr>
      <w:r>
        <w:t xml:space="preserve">In this region, patient expectations for aesthetics are high. The coastal lifestyle and outdoor culture of</w:t>
      </w:r>
      <w:r>
        <w:t xml:space="preserve"> </w:t>
      </w:r>
      <w:r>
        <w:rPr>
          <w:bCs/>
          <w:b/>
        </w:rPr>
        <w:t xml:space="preserve">New Zealand Auckland</w:t>
      </w:r>
      <w:r>
        <w:t xml:space="preserve"> </w:t>
      </w:r>
      <w:r>
        <w:t xml:space="preserve">mean that patients often prioritize discreet treatment options alongside functional improvements. Consequently, the role of the</w:t>
      </w:r>
      <w:r>
        <w:t xml:space="preserve"> </w:t>
      </w:r>
      <w:hyperlink w:anchor="orthodontist-link">
        <w:r>
          <w:rPr>
            <w:rStyle w:val="Hyperlink"/>
            <w:bCs/>
            <w:b/>
          </w:rPr>
          <w:t xml:space="preserve">Orthodontist</w:t>
        </w:r>
      </w:hyperlink>
      <w:r>
        <w:t xml:space="preserve"> </w:t>
      </w:r>
      <w:r>
        <w:t xml:space="preserve">has evolved beyond simple straightening to include holistic facial aesthetics and long-term periodontal health.</w:t>
      </w:r>
    </w:p>
    <w:bookmarkEnd w:id="22"/>
    <w:bookmarkStart w:id="25" w:name="orthodontist-link"/>
    <w:p>
      <w:pPr>
        <w:pStyle w:val="Heading2"/>
      </w:pPr>
      <w:r>
        <w:t xml:space="preserve">3. The Role of the Orthodontist in Modern Practice</w:t>
      </w:r>
    </w:p>
    <w:p>
      <w:pPr>
        <w:pStyle w:val="FirstParagraph"/>
      </w:pPr>
      <w:r>
        <w:t xml:space="preserve">An</w:t>
      </w:r>
      <w:r>
        <w:t xml:space="preserve"> </w:t>
      </w:r>
      <w:hyperlink w:anchor="orthodontist-link">
        <w:r>
          <w:rPr>
            <w:rStyle w:val="Hyperlink"/>
            <w:bCs/>
            <w:b/>
          </w:rPr>
          <w:t xml:space="preserve">Orthodontist</w:t>
        </w:r>
      </w:hyperlink>
      <w:r>
        <w:t xml:space="preserve"> </w:t>
      </w:r>
      <w:r>
        <w:t xml:space="preserve">is a dental specialist who focuses on diagnosing, preventing, and correcting malpositioned teeth and jaws. In the context of this report, the definition extends to managing growth modification in children and complex adult rehabilitation. The following core competencies are emphasized:</w:t>
      </w:r>
    </w:p>
    <w:bookmarkStart w:id="23" w:name="diagnostic-precision"/>
    <w:p>
      <w:pPr>
        <w:pStyle w:val="Heading3"/>
      </w:pPr>
      <w:r>
        <w:t xml:space="preserve">3.1 Diagnostic Precision</w:t>
      </w:r>
    </w:p>
    <w:p>
      <w:pPr>
        <w:pStyle w:val="FirstParagraph"/>
      </w:pPr>
      <w:r>
        <w:t xml:space="preserve">Precise diagnosis is the cornerstone of successful orthodontic therapy. This involves a multi-modal approach including panoramic radiographs, lateral cephalometric X-rays, and intraoral digital scanning. The data collected must be analyzed to determine the skeletal versus dental nature of the malocclusion.</w:t>
      </w:r>
    </w:p>
    <w:bookmarkEnd w:id="23"/>
    <w:bookmarkStart w:id="24" w:name="treatment-modalities"/>
    <w:p>
      <w:pPr>
        <w:pStyle w:val="Heading3"/>
      </w:pPr>
      <w:r>
        <w:t xml:space="preserve">3.2 Treatment Modalities</w:t>
      </w:r>
    </w:p>
    <w:p>
      <w:pPr>
        <w:pStyle w:val="FirstParagraph"/>
      </w:pPr>
      <w:r>
        <w:t xml:space="preserve">The modern</w:t>
      </w:r>
      <w:r>
        <w:t xml:space="preserve"> </w:t>
      </w:r>
      <w:hyperlink w:anchor="orthodontist-link">
        <w:r>
          <w:rPr>
            <w:rStyle w:val="Hyperlink"/>
            <w:bCs/>
            <w:b/>
          </w:rPr>
          <w:t xml:space="preserve">Orthodontist</w:t>
        </w:r>
      </w:hyperlink>
      <w:r>
        <w:t xml:space="preserve"> </w:t>
      </w:r>
      <w:r>
        <w:t xml:space="preserve">offers a spectrum of appliances:</w:t>
      </w:r>
    </w:p>
    <w:p>
      <w:pPr>
        <w:numPr>
          <w:ilvl w:val="0"/>
          <w:numId w:val="1001"/>
        </w:numPr>
        <w:pStyle w:val="Compact"/>
      </w:pPr>
      <w:r>
        <w:rPr>
          <w:bCs/>
          <w:b/>
        </w:rPr>
        <w:t xml:space="preserve">Premier Fixed Appliances:</w:t>
      </w:r>
      <w:r>
        <w:t xml:space="preserve"> </w:t>
      </w:r>
      <w:r>
        <w:t xml:space="preserve">Traditional metal or ceramic brackets remain the gold standard for complex cases.</w:t>
      </w:r>
    </w:p>
    <w:p>
      <w:pPr>
        <w:numPr>
          <w:ilvl w:val="0"/>
          <w:numId w:val="1001"/>
        </w:numPr>
        <w:pStyle w:val="Compact"/>
      </w:pPr>
      <w:r>
        <w:rPr>
          <w:bCs/>
          <w:b/>
        </w:rPr>
        <w:t xml:space="preserve">Invisible Aligner Therapy:</w:t>
      </w:r>
      <w:r>
        <w:t xml:space="preserve">Clear aligners have gained immense popularity in urban centers like Auckland, appealing to patients seeking discretion.</w:t>
      </w:r>
    </w:p>
    <w:p>
      <w:pPr>
        <w:numPr>
          <w:ilvl w:val="0"/>
          <w:numId w:val="1001"/>
        </w:numPr>
        <w:pStyle w:val="Compact"/>
      </w:pPr>
      <w:r>
        <w:rPr>
          <w:bCs/>
          <w:b/>
        </w:rPr>
        <w:t xml:space="preserve">Lingual Orthodontics:</w:t>
      </w:r>
      <w:r>
        <w:t xml:space="preserve"> </w:t>
      </w:r>
      <w:r>
        <w:t xml:space="preserve">Brackets placed behind the teeth provide a fully hidden aesthetic solution.</w:t>
      </w:r>
    </w:p>
    <w:bookmarkEnd w:id="24"/>
    <w:bookmarkEnd w:id="25"/>
    <w:bookmarkStart w:id="28" w:name="lab-report-link"/>
    <w:p>
      <w:pPr>
        <w:pStyle w:val="Heading2"/>
      </w:pPr>
      <w:r>
        <w:t xml:space="preserve">4. The Lab Report: Technical and Clinical Coordination</w:t>
      </w:r>
    </w:p>
    <w:p>
      <w:pPr>
        <w:pStyle w:val="FirstParagraph"/>
      </w:pPr>
      <w:r>
        <w:t xml:space="preserve">The term "Lab Report" in an orthodontic context refers to the detailed documentation generated by the dental laboratory that supports clinical procedures. This section details how a professional</w:t>
      </w:r>
      <w:r>
        <w:t xml:space="preserve"> </w:t>
      </w:r>
      <w:hyperlink w:anchor="orthodontist-link">
        <w:r>
          <w:rPr>
            <w:rStyle w:val="Hyperlink"/>
            <w:bCs/>
            <w:b/>
          </w:rPr>
          <w:t xml:space="preserve">Orthodontist</w:t>
        </w:r>
      </w:hyperlink>
      <w:r>
        <w:t xml:space="preserve"> </w:t>
      </w:r>
      <w:r>
        <w:t xml:space="preserve">interacts with technical laboratories to ensure precision.</w:t>
      </w:r>
    </w:p>
    <w:bookmarkStart w:id="26" w:name="appliance-fabrication-specifications"/>
    <w:p>
      <w:pPr>
        <w:pStyle w:val="Heading3"/>
      </w:pPr>
      <w:r>
        <w:t xml:space="preserve">4.1 Appliance Fabrication Specifications</w:t>
      </w:r>
    </w:p>
    <w:p>
      <w:pPr>
        <w:pStyle w:val="FirstParagraph"/>
      </w:pPr>
      <w:r>
        <w:t xml:space="preserve">When an orthodontic case requires custom appliances, such as functional aids for growing children or fixed retainers post-treatment, the clinical data must be transmitted accurately to the dental lab. The "Lab Report" acts as the bridge between clinical intent and technical execution. It includes:</w:t>
      </w:r>
    </w:p>
    <w:p>
      <w:pPr>
        <w:numPr>
          <w:ilvl w:val="0"/>
          <w:numId w:val="1002"/>
        </w:numPr>
        <w:pStyle w:val="Compact"/>
      </w:pPr>
      <w:r>
        <w:t xml:space="preserve">Precise angulation requirements based on digital scans.</w:t>
      </w:r>
    </w:p>
    <w:p>
      <w:pPr>
        <w:numPr>
          <w:ilvl w:val="0"/>
          <w:numId w:val="1002"/>
        </w:numPr>
        <w:pStyle w:val="Compact"/>
      </w:pPr>
      <w:r>
        <w:t xml:space="preserve">Meterial specifications (e.g., nickel-titanium alloys for active wires vs. stainless steel for passive retention).</w:t>
      </w:r>
    </w:p>
    <w:p>
      <w:pPr>
        <w:numPr>
          <w:ilvl w:val="0"/>
          <w:numId w:val="1002"/>
        </w:numPr>
        <w:pStyle w:val="Compact"/>
      </w:pPr>
      <w:r>
        <w:t xml:space="preserve">Bite plane configurations to aid in deep bite correction.</w:t>
      </w:r>
    </w:p>
    <w:bookmarkEnd w:id="26"/>
    <w:bookmarkStart w:id="27" w:name="quality-assurance-and-verification"/>
    <w:p>
      <w:pPr>
        <w:pStyle w:val="Heading3"/>
      </w:pPr>
      <w:r>
        <w:t xml:space="preserve">4.2 Quality Assurance and Verification</w:t>
      </w:r>
    </w:p>
    <w:p>
      <w:pPr>
        <w:pStyle w:val="FirstParagraph"/>
      </w:pPr>
      <w:r>
        <w:t xml:space="preserve">In Auckland, where regulatory standards are stringent, the lab report must include verification data. This ensures that any appliance fabricated meets New Zealand health and safety guidelines. The orthodontist reviews the lab report against clinical goals before delivery to the patient.</w:t>
      </w:r>
    </w:p>
    <w:bookmarkEnd w:id="27"/>
    <w:bookmarkEnd w:id="28"/>
    <w:bookmarkStart w:id="29" w:name="clinical-protocol-and-patient-journey"/>
    <w:p>
      <w:pPr>
        <w:pStyle w:val="Heading2"/>
      </w:pPr>
      <w:r>
        <w:t xml:space="preserve">5. Clinical Protocol and Patient Journey</w:t>
      </w:r>
    </w:p>
    <w:p>
      <w:pPr>
        <w:pStyle w:val="FirstParagraph"/>
      </w:pPr>
      <w:r>
        <w:t xml:space="preserve">The standard operating procedure for an orthodontic practice in New Zealand follows a structured pathway:</w:t>
      </w:r>
    </w:p>
    <w:p>
      <w:pPr>
        <w:pStyle w:val="BodyText"/>
      </w:pPr>
      <w:r>
        <w:t xml:space="preserve">Stage</w:t>
      </w:r>
    </w:p>
    <w:bookmarkEnd w:id="29"/>
    <w:p>
      <w:pPr>
        <w:pStyle w:val="BodyText"/>
      </w:pPr>
      <w:r>
        <w:t xml:space="preserve">Action Item</w:t>
      </w:r>
    </w:p>
    <w:p>
      <w:pPr>
        <w:pStyle w:val="BodyText"/>
      </w:pPr>
      <w:r>
        <w:t xml:space="preserve">Description</w:t>
      </w:r>
    </w:p>
    <w:p>
      <w:pPr>
        <w:pStyle w:val="BodyText"/>
      </w:pPr>
      <w:r>
        <w:rPr>
          <w:bCs/>
          <w:b/>
        </w:rPr>
        <w:t xml:space="preserve">Initial Consultation</w:t>
      </w:r>
    </w:p>
    <w:p>
      <w:pPr>
        <w:pStyle w:val="BodyText"/>
      </w:pPr>
      <w:r>
        <w:t xml:space="preserve">Clinical Examination &amp; Imaging</w:t>
      </w:r>
    </w:p>
    <w:p>
      <w:pPr>
        <w:pStyle w:val="BodyText"/>
      </w:pPr>
      <w:r>
        <w:t xml:space="preserve">Assessment of facial profile, intraoral structures, and acquisition of digital scans or impressions.</w:t>
      </w:r>
    </w:p>
    <w:p>
      <w:pPr>
        <w:pStyle w:val="BodyText"/>
      </w:pPr>
      <w:r>
        <w:rPr>
          <w:bCs/>
          <w:b/>
        </w:rPr>
        <w:t xml:space="preserve">Cephalometric Analysis</w:t>
      </w:r>
    </w:p>
    <w:p>
      <w:pPr>
        <w:pStyle w:val="BodyText"/>
      </w:pPr>
      <w:r>
        <w:t xml:space="preserve">Radiographic Measurement</w:t>
      </w:r>
    </w:p>
    <w:p>
      <w:pPr>
        <w:pStyle w:val="BodyText"/>
      </w:pPr>
      <w:r>
        <w:t xml:space="preserve">Detailed analysis of skeletal relationships to determine growth potential and treatment necessity.</w:t>
      </w:r>
    </w:p>
    <w:p>
      <w:pPr>
        <w:pStyle w:val="BodyText"/>
      </w:pPr>
      <w:r>
        <w:rPr>
          <w:bCs/>
          <w:b/>
        </w:rPr>
        <w:t xml:space="preserve">Treatment Planning</w:t>
      </w:r>
    </w:p>
    <w:p>
      <w:pPr>
        <w:pStyle w:val="BodyText"/>
      </w:pPr>
      <w:r>
        <w:t xml:space="preserve">Multidisciplinary Review</w:t>
      </w:r>
    </w:p>
    <w:p>
      <w:pPr>
        <w:pStyle w:val="BodyText"/>
      </w:pPr>
      <w:r>
        <w:t xml:space="preserve">Collaboration with general dentists and oral surgeons if extractions or jaw surgery are required.</w:t>
      </w:r>
    </w:p>
    <w:p>
      <w:pPr>
        <w:pStyle w:val="BodyText"/>
      </w:pPr>
      <w:r>
        <w:rPr>
          <w:bCs/>
          <w:b/>
        </w:rPr>
        <w:t xml:space="preserve">Laboratory Coordination</w:t>
      </w:r>
    </w:p>
    <w:p>
      <w:pPr>
        <w:pStyle w:val="BodyText"/>
      </w:pPr>
      <w:r>
        <w:t xml:space="preserve">Lab Report Generation</w:t>
      </w:r>
    </w:p>
    <w:p>
      <w:pPr>
        <w:pStyle w:val="BodyText"/>
      </w:pPr>
      <w:r>
        <w:t xml:space="preserve">Sending precise measurements for custom retainers or auxiliary appliances.</w:t>
      </w:r>
    </w:p>
    <w:p>
      <w:pPr>
        <w:pStyle w:val="BodyText"/>
      </w:pPr>
      <w:r>
        <w:rPr>
          <w:bCs/>
          <w:b/>
        </w:rPr>
        <w:t xml:space="preserve">Treatment Initiation</w:t>
      </w:r>
    </w:p>
    <w:p>
      <w:pPr>
        <w:pStyle w:val="BodyText"/>
      </w:pPr>
      <w:r>
        <w:t xml:space="preserve">Appliance Placement</w:t>
      </w:r>
    </w:p>
    <w:p>
      <w:pPr>
        <w:pStyle w:val="BodyText"/>
      </w:pPr>
      <w:r>
        <w:t xml:space="preserve">Bonding brackets or issuing the first set of aligners.</w:t>
      </w:r>
    </w:p>
    <w:bookmarkStart w:id="30" w:name="lab-report-link"/>
    <w:p>
      <w:pPr>
        <w:pStyle w:val="Heading2"/>
      </w:pPr>
      <w:r>
        <w:t xml:space="preserve">6. Post-Treatment and Retention Protocols</w:t>
      </w:r>
    </w:p>
    <w:p>
      <w:pPr>
        <w:pStyle w:val="FirstParagraph"/>
      </w:pPr>
      <w:r>
        <w:t xml:space="preserve">Retention is a critical phase of orthodontic care, particularly in the dynamic environment of</w:t>
      </w:r>
      <w:r>
        <w:t xml:space="preserve"> </w:t>
      </w:r>
      <w:r>
        <w:rPr>
          <w:bCs/>
          <w:b/>
        </w:rPr>
        <w:t xml:space="preserve">New Zealand Auckland</w:t>
      </w:r>
      <w:r>
        <w:t xml:space="preserve">, where dietary habits and lifestyle factors can influence long-term stability. The "Lab Report" documentation continues into this stage, specifying the design of Hawley retainers, Essix clear retainers, or bonded lingual wires.</w:t>
      </w:r>
    </w:p>
    <w:p>
      <w:pPr>
        <w:pStyle w:val="BodyText"/>
      </w:pPr>
      <w:r>
        <w:t xml:space="preserve">Long-term monitoring is essential. An</w:t>
      </w:r>
      <w:r>
        <w:t xml:space="preserve"> </w:t>
      </w:r>
      <w:hyperlink w:anchor="orthodontist-link">
        <w:r>
          <w:rPr>
            <w:rStyle w:val="Hyperlink"/>
            <w:bCs/>
            <w:b/>
          </w:rPr>
          <w:t xml:space="preserve">Orthodontist</w:t>
        </w:r>
      </w:hyperlink>
      <w:r>
        <w:t xml:space="preserve"> </w:t>
      </w:r>
      <w:r>
        <w:t xml:space="preserve">must establish a maintenance schedule with patients to ensure that teeth do not relapse. This often involves annual check-ups, which may coincide with general dental hygiene appointments.</w:t>
      </w:r>
    </w:p>
    <w:bookmarkEnd w:id="30"/>
    <w:bookmarkStart w:id="31" w:name="lab-report-link"/>
    <w:p>
      <w:pPr>
        <w:pStyle w:val="Heading2"/>
      </w:pPr>
      <w:r>
        <w:t xml:space="preserve">7. Conclusion</w:t>
      </w:r>
    </w:p>
    <w:p>
      <w:pPr>
        <w:pStyle w:val="FirstParagraph"/>
      </w:pPr>
      <w:r>
        <w:t xml:space="preserve">The integration of clinical expertise, technological advancement, and rigorous documentation forms the backbone of modern orthodontic practice. For any</w:t>
      </w:r>
      <w:r>
        <w:t xml:space="preserve"> </w:t>
      </w:r>
      <w:hyperlink w:anchor="orthodontist-link">
        <w:r>
          <w:rPr>
            <w:rStyle w:val="Hyperlink"/>
            <w:bCs/>
            <w:b/>
          </w:rPr>
          <w:t xml:space="preserve">Orthodontist</w:t>
        </w:r>
      </w:hyperlink>
      <w:r>
        <w:t xml:space="preserve"> </w:t>
      </w:r>
      <w:r>
        <w:t xml:space="preserve">operating in</w:t>
      </w:r>
      <w:r>
        <w:t xml:space="preserve"> </w:t>
      </w:r>
      <w:r>
        <w:rPr>
          <w:bCs/>
          <w:b/>
        </w:rPr>
        <w:t xml:space="preserve">New Zealand Auckland</w:t>
      </w:r>
      <w:r>
        <w:t xml:space="preserve">, maintaining a detailed and accurate "Lab Report" system is not merely an administrative task but a clinical imperative. It ensures that every appliance, every bracket placement, and every retention plan is tailored to the individual patient's anatomical needs while adhering to the high standards expected by the Auckland community. By prioritizing precise diagnostics and clear communication with technical laboratories, practitioners can achieve optimal functional and aesthetic outcomes for their patients.</w:t>
      </w:r>
    </w:p>
    <w:bookmarkEnd w:id="31"/>
    <w:p>
      <w:pPr>
        <w:pStyle w:val="BodyText"/>
      </w:pPr>
      <w:r>
        <w:t xml:space="preserve">8. References and Regulatory Compliance</w:t>
      </w:r>
    </w:p>
    <w:p>
      <w:pPr>
        <w:pStyle w:val="BodyText"/>
      </w:pPr>
      <w:r>
        <w:t xml:space="preserve">This document adheres to guidelines set forth by:</w:t>
      </w:r>
    </w:p>
    <w:p>
      <w:pPr>
        <w:numPr>
          <w:ilvl w:val="0"/>
          <w:numId w:val="1003"/>
        </w:numPr>
        <w:pStyle w:val="Compact"/>
      </w:pPr>
      <w:r>
        <w:t xml:space="preserve">The New Zealand Dental Board.</w:t>
      </w:r>
    </w:p>
    <w:p>
      <w:pPr>
        <w:numPr>
          <w:ilvl w:val="0"/>
          <w:numId w:val="1003"/>
        </w:numPr>
        <w:pStyle w:val="Compact"/>
      </w:pPr>
      <w:r>
        <w:t xml:space="preserve">The New Zealand Society of Orthodontists.</w:t>
      </w:r>
    </w:p>
    <w:p>
      <w:pPr>
        <w:numPr>
          <w:ilvl w:val="0"/>
          <w:numId w:val="1003"/>
        </w:numPr>
        <w:pStyle w:val="Compact"/>
      </w:pPr>
      <w:r>
        <w:t xml:space="preserve">Local Health and Safety regulations within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Assessment and Treatment Planning in New Zealand Auckland</dc:title>
  <dc:creator/>
  <dc:language>en</dc:language>
  <cp:keywords/>
  <dcterms:created xsi:type="dcterms:W3CDTF">2026-07-29T23:10:48Z</dcterms:created>
  <dcterms:modified xsi:type="dcterms:W3CDTF">2026-07-29T23:10:48Z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