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Orthodontic</w:t>
      </w:r>
      <w:r>
        <w:t xml:space="preserve"> </w:t>
      </w:r>
      <w:r>
        <w:t xml:space="preserve">Laboratory</w:t>
      </w:r>
      <w:r>
        <w:t xml:space="preserve"> </w:t>
      </w:r>
      <w:r>
        <w:t xml:space="preserve">Report:</w:t>
      </w:r>
      <w:r>
        <w:t xml:space="preserve"> </w:t>
      </w:r>
      <w:r>
        <w:t xml:space="preserve">Moscow</w:t>
      </w:r>
      <w:r>
        <w:t xml:space="preserve"> </w:t>
      </w:r>
      <w:r>
        <w:t xml:space="preserve">Clinical</w:t>
      </w:r>
      <w:r>
        <w:t xml:space="preserve"> </w:t>
      </w:r>
      <w:r>
        <w:t xml:space="preserve">Analysis</w:t>
      </w:r>
    </w:p>
    <w:bookmarkStart w:id="33" w:name="Xa20576bf107cbfde02687b8d99bea0baf7a11cc"/>
    <w:p>
      <w:pPr>
        <w:pStyle w:val="Heading1"/>
      </w:pPr>
      <w:r>
        <w:t xml:space="preserve">Clinical Laboratory Report: Orthodontic Diagnostics and Treatment Planning in Russia, Moscow</w:t>
      </w:r>
    </w:p>
    <w:p>
      <w:pPr>
        <w:pStyle w:val="FirstParagraph"/>
      </w:pPr>
      <w:r>
        <w:rPr>
          <w:bCs/>
          <w:b/>
        </w:rPr>
        <w:t xml:space="preserve">Date:</w:t>
      </w:r>
      <w:r>
        <w:t xml:space="preserve"> </w:t>
      </w:r>
      <w:r>
        <w:t xml:space="preserve">October 24, 2023</w:t>
      </w:r>
      <w:r>
        <w:br/>
      </w:r>
      <w:r>
        <w:rPr>
          <w:bCs/>
          <w:b/>
        </w:rPr>
        <w:t xml:space="preserve">Patient ID:</w:t>
      </w:r>
      <w:r>
        <w:t xml:space="preserve"> </w:t>
      </w:r>
      <w:r>
        <w:t xml:space="preserve">MSK-9982-OR</w:t>
      </w:r>
      <w:r>
        <w:br/>
      </w:r>
      <w:r>
        <w:rPr>
          <w:bCs/>
          <w:b/>
        </w:rPr>
        <w:t xml:space="preserve">Laboratory Location:</w:t>
      </w:r>
      <w:r>
        <w:t xml:space="preserve"> </w:t>
      </w:r>
      <w:r>
        <w:t xml:space="preserve">Central Orthodontic Research Facility, Moscow District</w:t>
      </w:r>
    </w:p>
    <w:bookmarkStart w:id="20" w:name="X547f196390207717addb7c0b9f95aaee9db33d7"/>
    <w:p>
      <w:pPr>
        <w:pStyle w:val="Heading2"/>
      </w:pPr>
      <w:r>
        <w:t xml:space="preserve">H1: Introduction and Scope of the Laboratory Report</w:t>
      </w:r>
    </w:p>
    <w:p>
      <w:pPr>
        <w:pStyle w:val="FirstParagraph"/>
      </w:pPr>
      <w:r>
        <w:t xml:space="preserve">The primary objective of this comprehensive laboratory report is to detail the diagnostic findings, mechanical calculations, and proposed therapeutic interventions for a complex orthodontic case managed within the unique environmental and demographic context of Russia, Moscow. Orthodontics in major metropolitan centers such as Moscow has evolved significantly over the past decade, driven by an increased demand for aesthetic dental solutions and advanced biomechanical treatments. This report serves not only as a clinical record but also as a technical analysis of how specific orthodontic challenges are addressed using contemporary digital workflows available in the region.</w:t>
      </w:r>
      <w:r>
        <w:t xml:space="preserve"> </w:t>
      </w:r>
      <w:r>
        <w:t xml:space="preserve">The term "Orthodontist" here refers to the specialized medical professional whose expertise bridges maxillofacial anatomy, biomechanics, and aesthetic dentistry. In the high-stakes clinical environment of Moscow, where patient expectations for rapid and invisible treatments are exceptionally high, the role of the orthodontist extends beyond traditional braces application to include complex interdisciplinary planning involving restorative dentists and oral surgeons. This report documents that precise intersection of science and art.</w:t>
      </w:r>
      <w:r>
        <w:t xml:space="preserve"> </w:t>
      </w:r>
      <w:r>
        <w:t xml:space="preserve">Furthermore, the geographical context of "Russia Moscow" is integral to this study. The capital city serves as a hub for medical innovation in Eastern Europe, utilizing cutting-edge 3D printing technologies and aligner manufacturing protocols that are often ahead of regional trends found in other parts of the Russian Federation. Therefore, this lab report analyzes treatment parameters specific to the resources and standards prevalent in Moscow’s premier dental clinics.</w:t>
      </w:r>
    </w:p>
    <w:bookmarkEnd w:id="20"/>
    <w:bookmarkStart w:id="23" w:name="Xc61c28a7dd7fb6b63dbf0c804f1cb345e958bb0"/>
    <w:p>
      <w:pPr>
        <w:pStyle w:val="Heading2"/>
      </w:pPr>
      <w:r>
        <w:t xml:space="preserve">H2: Patient Demographics and Clinical History</w:t>
      </w:r>
    </w:p>
    <w:p>
      <w:pPr>
        <w:pStyle w:val="FirstParagraph"/>
      </w:pPr>
      <w:r>
        <w:t xml:space="preserve">The subject of this laboratory analysis is a 17-year-old male residing in the Central Administrative Okrug of Moscow. He presents with Chief Complaint (CC) regarding visible dental misalignment and concerns regarding facial profile symmetry, which are significant psychological factors for adolescents in competitive academic environments typical of Moscow schools.</w:t>
      </w:r>
    </w:p>
    <w:bookmarkStart w:id="21" w:name="medical-history"/>
    <w:p>
      <w:pPr>
        <w:pStyle w:val="Heading3"/>
      </w:pPr>
      <w:r>
        <w:t xml:space="preserve">Medical History</w:t>
      </w:r>
    </w:p>
    <w:p>
      <w:pPr>
        <w:pStyle w:val="FirstParagraph"/>
      </w:pPr>
      <w:r>
        <w:t xml:space="preserve">The patient has no significant systemic medical history that would contraindicate orthodontic movement. There is no history of temporomandibular joint (TMJ) disorders, though mild muscle tension was noted upon initial palpation, likely stress-related. The family dental history indicates a genetic predisposition to crowding and Class II skeletal patterns.</w:t>
      </w:r>
    </w:p>
    <w:bookmarkEnd w:id="21"/>
    <w:bookmarkStart w:id="22" w:name="dental-history"/>
    <w:p>
      <w:pPr>
        <w:pStyle w:val="Heading3"/>
      </w:pPr>
      <w:r>
        <w:t xml:space="preserve">Dental History</w:t>
      </w:r>
    </w:p>
    <w:p>
      <w:pPr>
        <w:pStyle w:val="FirstParagraph"/>
      </w:pPr>
      <w:r>
        <w:t xml:space="preserve">The patient underwent preliminary orthodontic evaluation two years prior at a private clinic in Moscow. At that time, the diagnosis was identified as moderate to severe maxillary anterior crowding combined with a mild mandibular retrognathia. Previous treatment was abandoned due to patient compliance issues with removable retainers and dissatisfaction with the aesthetic appearance of traditional metal brackets.</w:t>
      </w:r>
    </w:p>
    <w:bookmarkEnd w:id="22"/>
    <w:bookmarkEnd w:id="23"/>
    <w:bookmarkStart w:id="25" w:name="X3912f0c5044f091cf80557675af0efb75621e35"/>
    <w:p>
      <w:pPr>
        <w:pStyle w:val="Heading2"/>
      </w:pPr>
      <w:r>
        <w:t xml:space="preserve">H3: Diagnostic Data and Cephalometric Analysis</w:t>
      </w:r>
    </w:p>
    <w:p>
      <w:pPr>
        <w:pStyle w:val="FirstParagraph"/>
      </w:pPr>
      <w:r>
        <w:t xml:space="preserve">As part of this lab report, extensive diagnostic imaging was performed at our Moscow-based laboratory. Standard protocol in Russia for complex orthodontic cases now mandates Cone Beam Computed Tomography (CBCT) alongside traditional panoramic radiography. This allows for the precise assessment of root positions relative to the cortical bone plates, a critical factor in preventing root resorption during aggressive tooth movement.</w:t>
      </w:r>
    </w:p>
    <w:bookmarkStart w:id="24" w:name="cephalometric-findings"/>
    <w:p>
      <w:pPr>
        <w:pStyle w:val="Heading4"/>
      </w:pPr>
      <w:r>
        <w:t xml:space="preserve">Cephalometric Findings</w:t>
      </w:r>
    </w:p>
    <w:p>
      <w:pPr>
        <w:pStyle w:val="FirstParagraph"/>
      </w:pPr>
      <w:r>
        <w:t xml:space="preserve">Sella-Nasion-Point A (SNA) angle: 80 degrees (indicating mild maxillary deficiency).</w:t>
      </w:r>
      <w:r>
        <w:br/>
      </w:r>
      <w:r>
        <w:t xml:space="preserve">Sella-Nasion-Point B (SNB) angle: 76 degrees (indicating mandibular retrognathia).</w:t>
      </w:r>
      <w:r>
        <w:br/>
      </w:r>
      <w:r>
        <w:t xml:space="preserve">ANB Angle: 4 degrees, suggesting a Class II skeletal relationship.</w:t>
      </w:r>
      <w:r>
        <w:br/>
      </w:r>
      <w:r>
        <w:t xml:space="preserve">The incisor inclination is proclined, contributing to the lip incompetence observed clinically. In the context of Moscow’s aesthetic standards, where a harmonious facial profile is highly valued, correcting this sagittal discrepancy without surgical intervention (orthognathic surgery) presents a significant biomechanical challenge that requires careful anchorage management.</w:t>
      </w:r>
    </w:p>
    <w:bookmarkEnd w:id="24"/>
    <w:bookmarkEnd w:id="25"/>
    <w:bookmarkStart w:id="28" w:name="X9d9b56aa62932a754276b3dc440eed9cc752f91"/>
    <w:p>
      <w:pPr>
        <w:pStyle w:val="Heading2"/>
      </w:pPr>
      <w:r>
        <w:t xml:space="preserve">H4: Laboratory Analysis and Appliance Fabrication</w:t>
      </w:r>
    </w:p>
    <w:p>
      <w:pPr>
        <w:pStyle w:val="FirstParagraph"/>
      </w:pPr>
      <w:r>
        <w:t xml:space="preserve">The core of this laboratory report focuses on the fabrication process of the fixed appliance system selected for this patient. Given the patient’s request for aesthetic discretion, we opted for a self-ligating bracket system with ceramic wings, combined with high-tech elastomeric modules. This choice reflects the current trend in Moscow’s orthodontic sector toward faster treatment times and reduced chair-side visits.</w:t>
      </w:r>
    </w:p>
    <w:bookmarkStart w:id="26" w:name="biomechanical-strategy"/>
    <w:p>
      <w:pPr>
        <w:pStyle w:val="Heading5"/>
      </w:pPr>
      <w:r>
        <w:t xml:space="preserve">Biomechanical Strategy</w:t>
      </w:r>
    </w:p>
    <w:p>
      <w:pPr>
        <w:pStyle w:val="FirstParagraph"/>
      </w:pPr>
      <w:r>
        <w:t xml:space="preserve">The lab calculated the force vectors required to retract the upper anterior segment while maintaining posterior anchorage. We utilized a "power ridge" design within the bracket slot geometry to minimize friction. The laboratory software simulated the tooth movements over a 24-month period, predicting final occlusal relationships.</w:t>
      </w:r>
    </w:p>
    <w:bookmarkEnd w:id="26"/>
    <w:bookmarkStart w:id="27" w:name="material-science-in-moscow"/>
    <w:p>
      <w:pPr>
        <w:pStyle w:val="Heading5"/>
      </w:pPr>
      <w:r>
        <w:t xml:space="preserve">Material Science in Moscow</w:t>
      </w:r>
    </w:p>
    <w:p>
      <w:pPr>
        <w:pStyle w:val="FirstParagraph"/>
      </w:pPr>
      <w:r>
        <w:t xml:space="preserve">The archwires used are Nickel-Titanium (NiTi) alloys with superelastic properties, sourced from specialized manufacturers supplying the Russian market. The laboratory report highlights that the specific heat-activated variant chosen is crucial for maintaining continuous light forces, which is gentler on the periodontal ligament and reduces patient discomfort—a key factor in patient retention in competitive markets like Moscow.</w:t>
      </w:r>
    </w:p>
    <w:bookmarkEnd w:id="27"/>
    <w:bookmarkEnd w:id="28"/>
    <w:bookmarkStart w:id="30" w:name="X446af31df9cb721bdab946013f2c5b254f4986b"/>
    <w:p>
      <w:pPr>
        <w:pStyle w:val="Heading2"/>
      </w:pPr>
      <w:r>
        <w:t xml:space="preserve">H5: Treatment Plan Execution and Monitoring</w:t>
      </w:r>
    </w:p>
    <w:p>
      <w:pPr>
        <w:pStyle w:val="FirstParagraph"/>
      </w:pPr>
      <w:r>
        <w:t xml:space="preserve">The orthodontist has initiated the treatment phase with level 016 NiTi wires. The laboratory monitoring protocol involves digital scanning of the teeth at every four-week appointment. These scans are uploaded to a cloud-based platform, allowing for remote comparison between the predicted tooth positions (as defined in this lab report) and actual clinical progress.</w:t>
      </w:r>
    </w:p>
    <w:bookmarkStart w:id="29" w:name="Xe26c069281304b89df87016eb65bc64512b9377"/>
    <w:p>
      <w:pPr>
        <w:pStyle w:val="Heading3"/>
      </w:pPr>
      <w:r>
        <w:t xml:space="preserve">Social and Cultural Considerations in Moscow</w:t>
      </w:r>
    </w:p>
    <w:p>
      <w:pPr>
        <w:pStyle w:val="FirstParagraph"/>
      </w:pPr>
      <w:r>
        <w:t xml:space="preserve">An important aspect of this case study is the cultural context of "Russia Moscow." Patients in this region are highly digitally literate. Consequently, the laboratory provides a dedicated app interface that visualizes treatment progress. This transparency has been proven to improve compliance rates significantly among young adults and teenagers in the capital city. The orthodontist leverages these digital tools to maintain engagement, ensuring that the patient remains motivated throughout what is often a lengthy process.</w:t>
      </w:r>
    </w:p>
    <w:bookmarkEnd w:id="29"/>
    <w:bookmarkEnd w:id="30"/>
    <w:bookmarkStart w:id="31" w:name="h6-prognosis-and-expected-outcomes"/>
    <w:p>
      <w:pPr>
        <w:pStyle w:val="Heading2"/>
      </w:pPr>
      <w:r>
        <w:t xml:space="preserve">H6: Prognosis and Expected Outcomes</w:t>
      </w:r>
    </w:p>
    <w:p>
      <w:pPr>
        <w:pStyle w:val="FirstParagraph"/>
      </w:pPr>
      <w:r>
        <w:t xml:space="preserve">Based on the laboratory simulations and initial clinical response, the prognosis for this case is favorable. The primary goals are:</w:t>
      </w:r>
      <w:r>
        <w:t xml:space="preserve"> </w:t>
      </w:r>
      <w:r>
        <w:t xml:space="preserve">1. Elimination of maxillary crowding with proper torque control.</w:t>
      </w:r>
      <w:r>
        <w:t xml:space="preserve"> </w:t>
      </w:r>
      <w:r>
        <w:t xml:space="preserve">2. Improvement of the overjet and overbite to physiological norms (3-4mm).</w:t>
      </w:r>
      <w:r>
        <w:t xml:space="preserve"> </w:t>
      </w:r>
      <w:r>
        <w:t xml:space="preserve">3. Enhancement of the soft tissue profile by retracting protruded incisors, which will indirectly improve lip closure and profile aesthetics.</w:t>
      </w:r>
    </w:p>
    <w:bookmarkEnd w:id="31"/>
    <w:bookmarkStart w:id="32" w:name="h7-conclusion"/>
    <w:p>
      <w:pPr>
        <w:pStyle w:val="Heading2"/>
      </w:pPr>
      <w:r>
        <w:t xml:space="preserve">H7: Conclusion</w:t>
      </w:r>
    </w:p>
    <w:p>
      <w:pPr>
        <w:pStyle w:val="FirstParagraph"/>
      </w:pPr>
      <w:r>
        <w:t xml:space="preserve">This laboratory report underscores the complexity of modern orthodontic practice in Russia, Moscow. It demonstrates that successful treatment outcomes rely not only on the clinical skill of the orthodontist but also on precise laboratory engineering and technological integration. The specific demands of patients in Moscow—requiring speed, aesthetics, and digital convenience—have necessitated an evolution in how lab reports are generated and utilized. They are no longer static documents but dynamic guides that interact with real-time clinical data.</w:t>
      </w:r>
    </w:p>
    <w:p>
      <w:pPr>
        <w:pStyle w:val="BodyText"/>
      </w:pPr>
      <w:r>
        <w:t xml:space="preserve">The findings documented herein confirm that by adhering to rigorous laboratory protocols and adapting to the local technological landscape of Moscow, complex Class II malocclusions can be treated effectively without invasive surgery. This case serves as a testament to the advanced state of orthodontic care available in the Russian capital, highlighting the synergy between traditional dental science and modern digital innovation.</w:t>
      </w:r>
    </w:p>
    <w:p>
      <w:pPr>
        <w:pStyle w:val="BodyText"/>
      </w:pPr>
      <w:r>
        <w:rPr>
          <w:iCs/>
          <w:i/>
        </w:rPr>
        <w:t xml:space="preserve">End of Report. Prepared by Senior Lab Technician, Moscow Orthodontic Research Unit.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Orthodontic Laboratory Report: Moscow Clinical Analysis</dc:title>
  <dc:creator/>
  <dc:language>en</dc:language>
  <cp:keywords/>
  <dcterms:created xsi:type="dcterms:W3CDTF">2026-07-29T16:42:21Z</dcterms:created>
  <dcterms:modified xsi:type="dcterms:W3CDTF">2026-07-29T16:42:21Z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