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Orthodontic</w:t>
      </w:r>
      <w:r>
        <w:t xml:space="preserve"> </w:t>
      </w:r>
      <w:r>
        <w:t xml:space="preserve">Interventions</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Xf210b65d2c08121af1b066d41b4992ac41db2a6"/>
    <w:p>
      <w:pPr>
        <w:pStyle w:val="Heading1"/>
      </w:pPr>
      <w:r>
        <w:t xml:space="preserve">Clinical Lab Report &amp; Orthodontic Assessment</w:t>
      </w:r>
    </w:p>
    <w:p>
      <w:pPr>
        <w:pStyle w:val="FirstParagraph"/>
      </w:pPr>
      <w:r>
        <w:rPr>
          <w:bCs/>
          <w:b/>
        </w:rPr>
        <w:t xml:space="preserve">Institution:</w:t>
      </w:r>
      <w:r>
        <w:t xml:space="preserve"> </w:t>
      </w:r>
      <w:r>
        <w:t xml:space="preserve">Advanced Dental Care Center, Jeddah Kingdom of Saudi Arabia</w:t>
      </w:r>
    </w:p>
    <w:p>
      <w:pPr>
        <w:pStyle w:val="BodyText"/>
      </w:pPr>
      <w:r>
        <w:rPr>
          <w:bCs/>
          <w:b/>
        </w:rPr>
        <w:t xml:space="preserve">Date:</w:t>
      </w:r>
      <w:r>
        <w:t xml:space="preserve"> </w:t>
      </w:r>
      <w:r>
        <w:t xml:space="preserve">May 24, 2024</w:t>
      </w:r>
    </w:p>
    <w:p>
      <w:pPr>
        <w:pStyle w:val="BodyText"/>
      </w:pPr>
      <w:r>
        <w:t xml:space="preserve">Patient ID:JED-ORT-998X&gt;</w:t>
      </w:r>
    </w:p>
    <w:p>
      <w:pPr>
        <w:pStyle w:val="BodyText"/>
      </w:pPr>
      <w:r>
        <w:t xml:space="preserve">Treating Orthodontist: Dr. Ahmed Al-Saud, DDS, MS (Orthodontics)</w:t>
      </w:r>
    </w:p>
    <w:bookmarkEnd w:id="20"/>
    <w:bookmarkStart w:id="21" w:name="i.-executive-summary"/>
    <w:p>
      <w:pPr>
        <w:pStyle w:val="Heading2"/>
      </w:pPr>
      <w:r>
        <w:t xml:space="preserve">I. Executive Summary</w:t>
      </w:r>
    </w:p>
    <w:p>
      <w:pPr>
        <w:pStyle w:val="FirstParagraph"/>
      </w:pPr>
      <w:r>
        <w:t xml:space="preserve">This document serves as a comprehensive Lab Report detailing the diagnostic findings, treatment planning process, and clinical observations associated with specialized Orthodontist interventions provided within the unique demographic and healthcare landscape of Saudi Arabia Jeddah. The report highlights how local cultural dynamics, genetic diversity among patients in this coastal metropolis, and modern technological integration influence standard orthodontic practices. This analysis aims to demonstrate the efficacy of tailored treatment plans designed specifically for patients residing in Saudi Arabia Jeddah, ensuring optimal aesthetic and functional outcomes.</w:t>
      </w:r>
    </w:p>
    <w:bookmarkEnd w:id="21"/>
    <w:bookmarkStart w:id="22" w:name="ii.-background-and-regional-context"/>
    <w:p>
      <w:pPr>
        <w:pStyle w:val="Heading2"/>
      </w:pPr>
      <w:r>
        <w:t xml:space="preserve">II. Background and Regional Context</w:t>
      </w:r>
    </w:p>
    <w:p>
      <w:pPr>
        <w:pStyle w:val="FirstParagraph"/>
      </w:pPr>
      <w:r>
        <w:t xml:space="preserve">The city of Jeddah, often referred to as the "Bride of the Red Sea," is a vibrant hub for medical tourism within Saudi Arabia Jeddah. Patients traveling to this region seek high-quality dental care that aligns with international standards while respecting local cultural sensitivities. An Orthodontist operating in this region must navigate a patient population characterized by diverse ethnic backgrounds, including Arab, South Asian, and African heritage. This genetic diversity necessitates a nuanced approach to craniofacial morphology. Unlike standard protocols applied in Western contexts, an Orthodontist in Saudi Arabia Jeddah must account for specific skeletal patterns prevalent in the local population.</w:t>
      </w:r>
    </w:p>
    <w:p>
      <w:pPr>
        <w:pStyle w:val="BodyText"/>
      </w:pPr>
      <w:r>
        <w:t xml:space="preserve">Furthermore, the rapid modernization of healthcare facilities in Saudi Arabia Jeddah has led to increased adoption of digital orthodontics. This Lab Report underscores how state-of-the-art technology available in Jeddah clinics allows for precise prediction models, ensuring that the Orthodontist can provide evidence-based treatments that are both efficient and minimally invasive.</w:t>
      </w:r>
    </w:p>
    <w:bookmarkEnd w:id="22"/>
    <w:bookmarkStart w:id="23" w:name="X9c39b7cc21b13166c36df6cb0d29208444bb0e7"/>
    <w:p>
      <w:pPr>
        <w:pStyle w:val="Heading2"/>
      </w:pPr>
      <w:r>
        <w:t xml:space="preserve">III. Patient Demographics and Clinical History</w:t>
      </w:r>
    </w:p>
    <w:p>
      <w:pPr>
        <w:pStyle w:val="FirstParagraph"/>
      </w:pPr>
      <w:r>
        <w:t xml:space="preserve">Patient Profile:</w:t>
      </w:r>
    </w:p>
    <w:p>
      <w:pPr>
        <w:numPr>
          <w:ilvl w:val="0"/>
          <w:numId w:val="1001"/>
        </w:numPr>
        <w:pStyle w:val="Compact"/>
      </w:pPr>
      <w:r>
        <w:rPr>
          <w:bCs/>
          <w:b/>
        </w:rPr>
        <w:t xml:space="preserve">Name:</w:t>
      </w:r>
      <w:r>
        <w:t xml:space="preserve"> </w:t>
      </w:r>
      <w:r>
        <w:t xml:space="preserve">[Redacted for Privacy]</w:t>
      </w:r>
    </w:p>
    <w:p>
      <w:pPr>
        <w:numPr>
          <w:ilvl w:val="0"/>
          <w:numId w:val="1001"/>
        </w:numPr>
        <w:pStyle w:val="Compact"/>
      </w:pPr>
      <w:r>
        <w:rPr>
          <w:bCs/>
          <w:b/>
        </w:rPr>
        <w:t xml:space="preserve">Age:</w:t>
      </w:r>
      <w:r>
        <w:t xml:space="preserve"> </w:t>
      </w:r>
      <w:r>
        <w:t xml:space="preserve">14 Years</w:t>
      </w:r>
    </w:p>
    <w:p>
      <w:pPr>
        <w:numPr>
          <w:ilvl w:val="0"/>
          <w:numId w:val="1001"/>
        </w:numPr>
        <w:pStyle w:val="Compact"/>
      </w:pPr>
      <w:r>
        <w:t xml:space="preserve">Gender:Male</w:t>
      </w:r>
      <w:r>
        <w:br/>
      </w:r>
      <w:r>
        <w:t xml:space="preserve">&gt;</w:t>
      </w:r>
    </w:p>
    <w:p>
      <w:pPr>
        <w:pStyle w:val="FirstParagraph"/>
      </w:pPr>
      <w:r>
        <w:t xml:space="preserve">" /&gt;</w:t>
      </w:r>
      <w:r>
        <w:t xml:space="preserve"> </w:t>
      </w:r>
      <w:r>
        <w:t xml:space="preserve">The patient is a resident of Saudi Arabia Jeddah, presenting with Class II Division 1 malocclusion characterized by significant overjet and retrognathic mandible. Family history indicates a predisposition to skeletal discrepancies, a common finding among patients seeking an Orthodontist in the Jeddah region due to hereditary factors. The patient has no prior orthodontic treatment history and exhibits good oral hygiene compliance, which is crucial for successful outcomes in long-term treatments.</w:t>
      </w:r>
    </w:p>
    <w:bookmarkEnd w:id="23"/>
    <w:bookmarkStart w:id="26" w:name="X28437a91e634c7cc0bff9a0ae4e47b2b0047837"/>
    <w:p>
      <w:pPr>
        <w:pStyle w:val="Heading2"/>
      </w:pPr>
      <w:r>
        <w:t xml:space="preserve">IV. Diagnostic Data and Laboratory Analysis</w:t>
      </w:r>
    </w:p>
    <w:p>
      <w:pPr>
        <w:pStyle w:val="FirstParagraph"/>
      </w:pPr>
      <w:r>
        <w:t xml:space="preserve">The diagnostic phase involved a comprehensive suite of imaging and laboratory tests typical of a modern Orthodontist practice in Saudi Arabia Jeddah.</w:t>
      </w:r>
    </w:p>
    <w:p>
      <w:pPr>
        <w:pStyle w:val="BodyText"/>
      </w:pPr>
      <w:r>
        <w:t xml:space="preserve">Diagnostic Tool</w:t>
      </w:r>
    </w:p>
    <w:p>
      <w:pPr>
        <w:pStyle w:val="BodyText"/>
      </w:pPr>
      <w:r>
        <w:t xml:space="preserve">Finding</w:t>
      </w:r>
    </w:p>
    <w:p>
      <w:pPr>
        <w:pStyle w:val="BodyText"/>
      </w:pPr>
      <w:r>
        <w:t xml:space="preserve">Clinical Significance for Orthodontist&gt;</w:t>
      </w:r>
    </w:p>
    <w:p>
      <w:pPr>
        <w:pStyle w:val="BodyText"/>
      </w:pPr>
      <w:r>
        <w:br/>
      </w:r>
      <w:r>
        <w:t xml:space="preserve">body&gt;</w:t>
      </w:r>
      <w:r>
        <w:br/>
      </w:r>
    </w:p>
    <w:p>
      <w:pPr>
        <w:pStyle w:val="BodyText"/>
      </w:pPr>
      <w:r>
        <w:br/>
      </w:r>
    </w:p>
    <w:p>
      <w:pPr>
        <w:pStyle w:val="BodyText"/>
      </w:pPr>
      <w:r>
        <w:t xml:space="preserve">Dagnostic Tool</w:t>
      </w:r>
    </w:p>
    <w:p>
      <w:pPr>
        <w:pStyle w:val="BodyText"/>
      </w:pPr>
      <w:r>
        <w:t xml:space="preserve">Finding&gt;</w:t>
      </w:r>
      <w:r>
        <w:t xml:space="preserve"> </w:t>
      </w:r>
      <w:r>
        <w:t xml:space="preserve">&gt;</w:t>
      </w:r>
    </w:p>
    <w:p>
      <w:pPr>
        <w:pStyle w:val="BodyText"/>
      </w:pPr>
      <w:r>
        <w:br/>
      </w:r>
      <w:r>
        <w:t xml:space="preserve">body&gt;</w:t>
      </w:r>
      <w:r>
        <w:br/>
      </w:r>
    </w:p>
    <w:p>
      <w:pPr>
        <w:pStyle w:val="BodyText"/>
      </w:pPr>
      <w:r>
        <w:br/>
      </w:r>
    </w:p>
    <w:p>
      <w:pPr>
        <w:pStyle w:val="BodyText"/>
      </w:pPr>
      <w:r>
        <w:t xml:space="preserve">Dagnostic Tool</w:t>
      </w:r>
    </w:p>
    <w:p>
      <w:pPr>
        <w:pStyle w:val="BodyText"/>
      </w:pPr>
      <w:r>
        <w:t xml:space="preserve">Finding&gt;</w:t>
      </w:r>
    </w:p>
    <w:p>
      <w:pPr>
        <w:pStyle w:val="BodyText"/>
      </w:pPr>
      <w:r>
        <w:br/>
      </w:r>
      <w:r>
        <w:t xml:space="preserve">body&gt;</w:t>
      </w:r>
      <w:r>
        <w:br/>
      </w:r>
    </w:p>
    <w:p>
      <w:pPr>
        <w:pStyle w:val="BodyText"/>
      </w:pPr>
      <w:r>
        <w:br/>
      </w:r>
    </w:p>
    <w:p>
      <w:pPr>
        <w:pStyle w:val="BodyText"/>
      </w:pPr>
      <w:r>
        <w:t xml:space="preserve">Dagnostic Tool</w:t>
      </w:r>
    </w:p>
    <w:p>
      <w:pPr>
        <w:pStyle w:val="BodyText"/>
      </w:pPr>
      <w:r>
        <w:t xml:space="preserve">Finding&gt;</w:t>
      </w:r>
    </w:p>
    <w:p>
      <w:pPr>
        <w:pStyle w:val="BodyText"/>
      </w:pPr>
      <w:r>
        <w:t xml:space="preserve">&gt;</w:t>
      </w:r>
      <w:r>
        <w:br/>
      </w:r>
      <w:r>
        <w:t xml:space="preserve">body&gt;</w:t>
      </w:r>
      <w:r>
        <w:br/>
      </w:r>
    </w:p>
    <w:p>
      <w:pPr>
        <w:pStyle w:val="BodyText"/>
      </w:pPr>
      <w:r>
        <w:br/>
      </w:r>
    </w:p>
    <w:p>
      <w:pPr>
        <w:pStyle w:val="BodyText"/>
      </w:pPr>
      <w:r>
        <w:t xml:space="preserve">Dagnostic Tool</w:t>
      </w:r>
    </w:p>
    <w:p>
      <w:pPr>
        <w:pStyle w:val="BodyText"/>
      </w:pPr>
      <w:r>
        <w:t xml:space="preserve">Finding&gt;</w:t>
      </w:r>
    </w:p>
    <w:p>
      <w:pPr>
        <w:pStyle w:val="BodyText"/>
      </w:pPr>
      <w:r>
        <w:t xml:space="preserve">&gt;</w:t>
      </w:r>
      <w:r>
        <w:br/>
      </w:r>
      <w:r>
        <w:t xml:space="preserve">body&gt;</w:t>
      </w:r>
      <w:r>
        <w:br/>
      </w:r>
    </w:p>
    <w:p>
      <w:pPr>
        <w:pStyle w:val="BodyText"/>
      </w:pPr>
      <w:r>
        <w:br/>
      </w:r>
    </w:p>
    <w:p>
      <w:pPr>
        <w:pStyle w:val="BodyText"/>
      </w:pPr>
      <w:r>
        <w:t xml:space="preserve">Dagnostic Tool</w:t>
      </w:r>
    </w:p>
    <w:p>
      <w:pPr>
        <w:pStyle w:val="BodyText"/>
      </w:pPr>
      <w:r>
        <w:t xml:space="preserve">Finding&gt;</w:t>
      </w:r>
    </w:p>
    <w:p>
      <w:pPr>
        <w:pStyle w:val="BodyText"/>
      </w:pPr>
      <w:r>
        <w:t xml:space="preserve">&gt;</w:t>
      </w:r>
      <w:r>
        <w:br/>
      </w:r>
      <w:r>
        <w:t xml:space="preserve">body&gt;</w:t>
      </w:r>
      <w:r>
        <w:br/>
      </w:r>
    </w:p>
    <w:p>
      <w:pPr>
        <w:pStyle w:val="BodyText"/>
      </w:pPr>
      <w:r>
        <w:br/>
      </w:r>
    </w:p>
    <w:bookmarkStart w:id="24" w:name="diagnostics-breakdown"/>
    <w:p>
      <w:pPr>
        <w:pStyle w:val="Heading3"/>
      </w:pPr>
      <w:r>
        <w:t xml:space="preserve">Diagnostics Breakdown</w:t>
      </w:r>
    </w:p>
    <w:p>
      <w:pPr>
        <w:pStyle w:val="FirstParagraph"/>
      </w:pPr>
      <w:r>
        <w:t xml:space="preserve">Dagnostic Tool</w:t>
      </w:r>
    </w:p>
    <w:p>
      <w:pPr>
        <w:pStyle w:val="BodyText"/>
      </w:pPr>
      <w:r>
        <w:t xml:space="preserve">Finding&gt;</w:t>
      </w:r>
    </w:p>
    <w:p>
      <w:pPr>
        <w:pStyle w:val="BodyText"/>
      </w:pPr>
      <w:r>
        <w:t xml:space="preserve">Clinical Significance for Orthodontist&gt;</w:t>
      </w:r>
    </w:p>
    <w:p>
      <w:pPr>
        <w:pStyle w:val="BodyText"/>
      </w:pPr>
      <w:r>
        <w:t xml:space="preserve">Cephalometric X-Ray</w:t>
      </w:r>
      <w:r>
        <w:br/>
      </w:r>
      <w:r>
        <w:t xml:space="preserve">body&gt;</w:t>
      </w:r>
      <w:r>
        <w:br/>
      </w:r>
    </w:p>
    <w:p>
      <w:pPr>
        <w:pStyle w:val="BodyText"/>
      </w:pPr>
      <w:r>
        <w:br/>
      </w:r>
    </w:p>
    <w:p>
      <w:pPr>
        <w:pStyle w:val="BodyText"/>
      </w:pPr>
      <w:r>
        <w:t xml:space="preserve">Dagnostic Tool</w:t>
      </w:r>
    </w:p>
    <w:p>
      <w:pPr>
        <w:pStyle w:val="BodyText"/>
      </w:pPr>
      <w:r>
        <w:t xml:space="preserve">Finding&gt;</w:t>
      </w:r>
    </w:p>
    <w:p>
      <w:pPr>
        <w:pStyle w:val="BodyText"/>
      </w:pPr>
      <w:r>
        <w:t xml:space="preserve">&gt;</w:t>
      </w:r>
    </w:p>
    <w:p>
      <w:pPr>
        <w:pStyle w:val="BodyText"/>
      </w:pPr>
      <w:r>
        <w:t xml:space="preserve">&gt;</w:t>
      </w:r>
    </w:p>
    <w:p>
      <w:pPr>
        <w:pStyle w:val="BodyText"/>
      </w:pPr>
      <w:r>
        <w:br/>
      </w:r>
    </w:p>
    <w:p>
      <w:pPr>
        <w:pStyle w:val="BodyText"/>
      </w:pPr>
      <w:r>
        <w:t xml:space="preserve">Cephalometric X-Ray</w:t>
      </w:r>
      <w:r>
        <w:br/>
      </w:r>
      <w:r>
        <w:t xml:space="preserve">body&gt;</w:t>
      </w:r>
      <w:r>
        <w:br/>
      </w:r>
    </w:p>
    <w:p>
      <w:pPr>
        <w:pStyle w:val="BodyText"/>
      </w:pPr>
      <w:r>
        <w:br/>
      </w:r>
    </w:p>
    <w:p>
      <w:pPr>
        <w:pStyle w:val="BodyText"/>
      </w:pPr>
      <w:r>
        <w:t xml:space="preserve">Dagnostic Tool</w:t>
      </w:r>
    </w:p>
    <w:p>
      <w:pPr>
        <w:pStyle w:val="BodyText"/>
      </w:pPr>
      <w:r>
        <w:t xml:space="preserve">Finding&gt;</w:t>
      </w:r>
    </w:p>
    <w:p>
      <w:pPr>
        <w:pStyle w:val="BodyText"/>
      </w:pPr>
      <w:r>
        <w:t xml:space="preserve">&gt;</w:t>
      </w:r>
    </w:p>
    <w:p>
      <w:pPr>
        <w:pStyle w:val="BodyText"/>
      </w:pPr>
      <w:r>
        <w:br/>
      </w:r>
    </w:p>
    <w:p>
      <w:pPr>
        <w:pStyle w:val="BodyText"/>
      </w:pPr>
      <w:r>
        <w:t xml:space="preserve">Cephalometric X-Ray</w:t>
      </w:r>
      <w:r>
        <w:br/>
      </w:r>
      <w:r>
        <w:t xml:space="preserve">body&gt;</w:t>
      </w:r>
      <w:r>
        <w:br/>
      </w:r>
    </w:p>
    <w:p>
      <w:pPr>
        <w:pStyle w:val="BodyText"/>
      </w:pPr>
      <w:r>
        <w:br/>
      </w:r>
    </w:p>
    <w:p>
      <w:pPr>
        <w:pStyle w:val="BodyText"/>
      </w:pPr>
      <w:r>
        <w:t xml:space="preserve">Dagnostic Tool</w:t>
      </w:r>
    </w:p>
    <w:p>
      <w:pPr>
        <w:pStyle w:val="BodyText"/>
      </w:pPr>
      <w:r>
        <w:t xml:space="preserve">Finding&gt;</w:t>
      </w:r>
    </w:p>
    <w:p>
      <w:pPr>
        <w:pStyle w:val="BodyText"/>
      </w:pPr>
      <w:r>
        <w:t xml:space="preserve">&gt;</w:t>
      </w:r>
    </w:p>
    <w:p>
      <w:pPr>
        <w:pStyle w:val="BodyText"/>
      </w:pPr>
      <w:r>
        <w:br/>
      </w:r>
    </w:p>
    <w:p>
      <w:pPr>
        <w:pStyle w:val="BodyText"/>
      </w:pPr>
      <w:r>
        <w:t xml:space="preserve">Cephalometric X-Ray</w:t>
      </w:r>
      <w:r>
        <w:br/>
      </w:r>
      <w:r>
        <w:t xml:space="preserve">body&gt;</w:t>
      </w:r>
      <w:r>
        <w:br/>
      </w:r>
    </w:p>
    <w:p>
      <w:pPr>
        <w:pStyle w:val="BodyText"/>
      </w:pPr>
      <w:r>
        <w:br/>
      </w:r>
    </w:p>
    <w:p>
      <w:pPr>
        <w:pStyle w:val="BodyText"/>
      </w:pPr>
      <w:r>
        <w:t xml:space="preserve">Dagnostic Tool</w:t>
      </w:r>
    </w:p>
    <w:p>
      <w:pPr>
        <w:pStyle w:val="BodyText"/>
      </w:pPr>
      <w:r>
        <w:t xml:space="preserve">Finding&gt;</w:t>
      </w:r>
    </w:p>
    <w:p>
      <w:pPr>
        <w:pStyle w:val="BodyText"/>
      </w:pPr>
      <w:r>
        <w:t xml:space="preserve">&gt;</w:t>
      </w:r>
    </w:p>
    <w:p>
      <w:pPr>
        <w:pStyle w:val="BodyText"/>
      </w:pPr>
      <w:r>
        <w:br/>
      </w:r>
    </w:p>
    <w:p>
      <w:pPr>
        <w:pStyle w:val="BodyText"/>
      </w:pPr>
      <w:r>
        <w:t xml:space="preserve">Cephalometric X-Ray</w:t>
      </w:r>
      <w:r>
        <w:br/>
      </w:r>
      <w:r>
        <w:t xml:space="preserve">body&gt;</w:t>
      </w:r>
      <w:r>
        <w:br/>
      </w:r>
    </w:p>
    <w:p>
      <w:pPr>
        <w:pStyle w:val="BodyText"/>
      </w:pPr>
      <w:r>
        <w:br/>
      </w:r>
    </w:p>
    <w:bookmarkEnd w:id="24"/>
    <w:bookmarkStart w:id="25" w:name="diagnostics-breakdown-1"/>
    <w:p>
      <w:pPr>
        <w:pStyle w:val="Heading3"/>
      </w:pPr>
      <w:r>
        <w:t xml:space="preserve">Diagnostics Breakdown</w:t>
      </w:r>
    </w:p>
    <w:p>
      <w:pPr>
        <w:numPr>
          <w:ilvl w:val="0"/>
          <w:numId w:val="1002"/>
        </w:numPr>
        <w:pStyle w:val="Compact"/>
      </w:pPr>
      <w:r>
        <w:rPr>
          <w:bCs/>
          <w:b/>
        </w:rPr>
        <w:t xml:space="preserve">Cephalometric X-Ray:</w:t>
      </w:r>
      <w:r>
        <w:t xml:space="preserve"> </w:t>
      </w:r>
      <w:r>
        <w:t xml:space="preserve">Revealed a SNA angle of 82 degrees and an SNB angle of 78 degrees, indicating a moderate skeletal Class II discrepancy common in the regional population. The ANB difference is +4 degrees.</w:t>
      </w:r>
    </w:p>
    <w:p>
      <w:pPr>
        <w:numPr>
          <w:ilvl w:val="0"/>
          <w:numId w:val="1002"/>
        </w:numPr>
        <w:pStyle w:val="Compact"/>
      </w:pPr>
      <w:r>
        <w:rPr>
          <w:bCs/>
          <w:b/>
        </w:rPr>
        <w:t xml:space="preserve">Intraoral Scans (3D):</w:t>
      </w:r>
      <w:r>
        <w:t xml:space="preserve"> </w:t>
      </w:r>
      <w:r>
        <w:t xml:space="preserve">Utilized CAD software available in Jeddah labs to model the arches. Results show crowding of 4mm in both maxillary and mandibular arches.</w:t>
      </w:r>
    </w:p>
    <w:p>
      <w:pPr>
        <w:numPr>
          <w:ilvl w:val="0"/>
          <w:numId w:val="1002"/>
        </w:numPr>
        <w:pStyle w:val="Compact"/>
      </w:pPr>
      <w:r>
        <w:t xml:space="preserve">Digital Facebow Analysis:Assessed the relationship between the patient's jaws and their facial profile, crucial for an Orthodontist aiming for aesthetic harmony.</w:t>
      </w:r>
    </w:p>
    <w:p>
      <w:pPr>
        <w:pStyle w:val="FirstParagraph"/>
      </w:pPr>
      <w:r>
        <w:t xml:space="preserve">" /&gt;</w:t>
      </w:r>
    </w:p>
    <w:bookmarkEnd w:id="25"/>
    <w:bookmarkEnd w:id="26"/>
    <w:bookmarkStart w:id="27" w:name="X7014996222f30910f7e96326fb531c6f48fe1a6"/>
    <w:p>
      <w:pPr>
        <w:pStyle w:val="Heading2"/>
      </w:pPr>
      <w:r>
        <w:t xml:space="preserve">V. Treatment Plan Proposed by Orthodontist</w:t>
      </w:r>
    </w:p>
    <w:p>
      <w:pPr>
        <w:pStyle w:val="FirstParagraph"/>
      </w:pPr>
      <w:r>
        <w:t xml:space="preserve">The proposed treatment plan is designed to correct both dental alignment and underlying skeletal discrepancies. As an Orthodontist in Saudi Arabia Jeddah, the focus is on achieving a stable result with minimal interference in the patient's daily life, considering the active school schedule of teenagers in this region.</w:t>
      </w:r>
    </w:p>
    <w:p>
      <w:pPr>
        <w:numPr>
          <w:ilvl w:val="0"/>
          <w:numId w:val="1003"/>
        </w:numPr>
        <w:pStyle w:val="Compact"/>
      </w:pPr>
      <w:r>
        <w:rPr>
          <w:bCs/>
          <w:b/>
        </w:rPr>
        <w:t xml:space="preserve">Mechanical Appliance Therapy:</w:t>
      </w:r>
      <w:r>
        <w:t xml:space="preserve"> </w:t>
      </w:r>
      <w:r>
        <w:t xml:space="preserve">The installation of self-ligating brackets. This technology reduces chair time and friction, allowing for faster tooth movement—a key advantage highlighted by Orthodontist specialists in modern clinics across Saudi Arabia Jeddah.</w:t>
      </w:r>
    </w:p>
    <w:p>
      <w:pPr>
        <w:numPr>
          <w:ilvl w:val="0"/>
          <w:numId w:val="1003"/>
        </w:numPr>
        <w:pStyle w:val="Compact"/>
      </w:pPr>
      <w:r>
        <w:rPr>
          <w:bCs/>
          <w:b/>
        </w:rPr>
        <w:t xml:space="preserve">Growth Modification: Given the patient's age, functional appliances may be utilized to encourage mandibular growth. This approach is preferred by an Orthodontist over surgical intervention at this stage.</w:t>
      </w:r>
    </w:p>
    <w:p>
      <w:pPr>
        <w:numPr>
          <w:ilvl w:val="0"/>
          <w:numId w:val="1003"/>
        </w:numPr>
        <w:pStyle w:val="Compact"/>
      </w:pPr>
      <w:r>
        <w:rPr>
          <w:bCs/>
          <w:b/>
        </w:rPr>
        <w:t xml:space="preserve">Digital Monitoring:</w:t>
      </w:r>
      <w:r>
        <w:t xml:space="preserve"> </w:t>
      </w:r>
      <w:r>
        <w:t xml:space="preserve">Monthly digital scans will be conducted to track progress. This allows the Orthodontist to make precise adjustments remotely if necessary, a feature increasingly popular in Saudi Arabia Jeddah for its convenience.</w:t>
      </w:r>
    </w:p>
    <w:p>
      <w:pPr>
        <w:pStyle w:val="FirstParagraph"/>
      </w:pPr>
      <w:r>
        <w:t xml:space="preserve">" /&gt;</w:t>
      </w:r>
    </w:p>
    <w:bookmarkEnd w:id="27"/>
    <w:bookmarkStart w:id="28" w:name="X485e8b9ada7c88692c45157d754adf931259009"/>
    <w:p>
      <w:pPr>
        <w:pStyle w:val="Heading2"/>
      </w:pPr>
      <w:r>
        <w:t xml:space="preserve">VI. Cultural Considerations and Patient Compliance</w:t>
      </w:r>
    </w:p>
    <w:p>
      <w:pPr>
        <w:pStyle w:val="FirstParagraph"/>
      </w:pPr>
      <w:r>
        <w:t xml:space="preserve">A critical aspect of being an effective Orthodontist in Saudi Arabia Jeddah is understanding cultural nuances that impact compliance. For instance, dietary restrictions during religious observances like Ramadan can affect oral hygiene routines and appliance wear time. The Lab Report notes that the treatment schedule has been adjusted to accommodate fasting hours, ensuring the patient receives education on maintaining brace health during non-fasting periods.</w:t>
      </w:r>
    </w:p>
    <w:p>
      <w:pPr>
        <w:pStyle w:val="BodyText"/>
      </w:pPr>
      <w:r>
        <w:t xml:space="preserve">Moreover, aesthetic preferences in Saudi Arabia Jeddah often lean towards discreet appliances. Consequently, the Orthodontist recommended clear aligners or ceramic brackets with tooth-colored wires to minimize visibility. This sensitivity to aesthetics is a hallmark of premium orthodontic services in this region.</w:t>
      </w:r>
    </w:p>
    <w:bookmarkEnd w:id="28"/>
    <w:bookmarkStart w:id="29" w:name="Xc1f8c7b34f7a883ec13f4535dcd142500044184"/>
    <w:p>
      <w:pPr>
        <w:pStyle w:val="Heading2"/>
      </w:pPr>
      <w:r>
        <w:t xml:space="preserve">VII. Laboratory Findings and Material Science</w:t>
      </w:r>
    </w:p>
    <w:p>
      <w:pPr>
        <w:pStyle w:val="FirstParagraph"/>
      </w:pPr>
      <w:r>
        <w:t xml:space="preserve">The lab component of this report also examines the materials used in the orthodontic process. Recent advancements in nickel-titanium archwires, sourced through specialized dental labs supporting Orthodontists in Saudi Arabia Jeddah, offer superior shape memory and elasticity. These materials allow for lighter forces to be applied to teeth, reducing patient discomfort—a significant concern for young patients.</w:t>
      </w:r>
    </w:p>
    <w:p>
      <w:pPr>
        <w:pStyle w:val="BodyText"/>
      </w:pPr>
      <w:r>
        <w:t xml:space="preserve">Additionally, the 3D printing capabilities of local laboratories in Jeddah have reduced the turnaround time for custom retainers and surgical guides from weeks to days. This efficiency ensures that when the Orthodontist deems treatment complete, immediate retention can be provided, preventing relapse.</w:t>
      </w:r>
    </w:p>
    <w:bookmarkEnd w:id="29"/>
    <w:bookmarkStart w:id="30" w:name="viii.-conclusion"/>
    <w:p>
      <w:pPr>
        <w:pStyle w:val="Heading2"/>
      </w:pPr>
      <w:r>
        <w:t xml:space="preserve">VIII. Conclusion</w:t>
      </w:r>
    </w:p>
    <w:p>
      <w:pPr>
        <w:pStyle w:val="FirstParagraph"/>
      </w:pPr>
      <w:r>
        <w:t xml:space="preserve">This Lab Report confirms that orthodontic treatments conducted by a qualified Orthodontist in Saudi Arabia Jeddah benefit from a synergy of advanced technology, genetic awareness, and cultural competence. The diagnostic precision achieved through digital scanning and the tailored treatment plans reflect the high standards of dental care available in this city.</w:t>
      </w:r>
    </w:p>
    <w:p>
      <w:pPr>
        <w:pStyle w:val="BodyText"/>
      </w:pPr>
      <w:r>
        <w:t xml:space="preserve">The integration of local lab technologies with international orthodontic protocols ensures that patients in Saudi Arabia Jeddah receive world-class care. The projected outcome for Patient ID JED-ORT-998X is a significant improvement in occlusion, facial aesthetics, and long-term oral health. Continued monitoring by the Orthodontist will ensure that these results are maintained post-treatment.</w:t>
      </w:r>
    </w:p>
    <w:p>
      <w:pPr>
        <w:pStyle w:val="BodyText"/>
      </w:pPr>
      <w:r>
        <w:t xml:space="preserve">Ultimately, this document illustrates that being an Orthodontist in Saudi Arabia Jeddah requires more than just technical skill; it demands a holistic understanding of the patient's environment and lifestyle. The collaboration between clinical practitioners and local dental laboratories continues to elevate the standard of orthodontic care in this dynamic region.</w:t>
      </w:r>
    </w:p>
    <w:p>
      <w:pPr>
        <w:pStyle w:val="BodyText"/>
      </w:pPr>
      <w:r>
        <w:rPr>
          <w:bCs/>
          <w:b/>
        </w:rPr>
        <w:t xml:space="preserve">Signed:</w:t>
      </w:r>
      <w:r>
        <w:br/>
      </w:r>
      <w:r>
        <w:t xml:space="preserve">Dr. Ahmed Al-Saud</w:t>
      </w:r>
      <w:r>
        <w:br/>
      </w:r>
      <w:r>
        <w:t xml:space="preserve">Chief Orthodontist</w:t>
      </w:r>
      <w:r>
        <w:br/>
      </w:r>
      <w:r>
        <w:t xml:space="preserve">Advanced Dental Care Center, Saudi Arabia Jeddah</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Orthodontic Interventions in Saudi Arabia, Jeddah</dc:title>
  <dc:creator/>
  <dc:language>en</dc:language>
  <cp:keywords/>
  <dcterms:created xsi:type="dcterms:W3CDTF">2026-07-29T14:48:34Z</dcterms:created>
  <dcterms:modified xsi:type="dcterms:W3CDTF">2026-07-29T14:48:34Z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