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Sudan</w:t>
      </w:r>
      <w:r>
        <w:t xml:space="preserve"> </w:t>
      </w:r>
      <w:r>
        <w:t xml:space="preserve">Khartoum</w:t>
      </w:r>
    </w:p>
    <w:bookmarkStart w:id="28" w:name="X5096887c81a942fc635afadf0a8dbbc6de1f66f"/>
    <w:p>
      <w:pPr>
        <w:pStyle w:val="Heading1"/>
      </w:pPr>
      <w:r>
        <w:t xml:space="preserve">Clinical Evaluation Report on Orthodontic Standards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Sudan; International Dental Aid Organizations</w:t>
      </w:r>
      <w:r>
        <w:br/>
      </w:r>
      <w:r>
        <w:rPr>
          <w:bCs/>
          <w:b/>
        </w:rPr>
        <w:t xml:space="preserve">From:</w:t>
      </w:r>
      <w:r>
        <w:t xml:space="preserve"> </w:t>
      </w:r>
      <w:r>
        <w:t xml:space="preserve">Clinical Research Unit</w:t>
      </w:r>
      <w:r>
        <w:br/>
      </w:r>
    </w:p>
    <w:p>
      <w:pPr>
        <w:pStyle w:val="BodyText"/>
      </w:pPr>
      <w:r>
        <w:t xml:space="preserve"> </w:t>
      </w:r>
      <w:r>
        <w:t xml:space="preserve">Lab Report</w:t>
      </w:r>
      <w:r>
        <w:t xml:space="preserve">: Assessment of Orthodontic Infrastructure and Patient Care in</w:t>
      </w:r>
      <w:r>
        <w:t xml:space="preserve"> </w:t>
      </w:r>
      <w:r>
        <w:t xml:space="preserve">Sudan Khartoum</w:t>
      </w:r>
      <w:r>
        <w:t xml:space="preserve">.</w:t>
      </w:r>
    </w:p>
    <w:bookmarkStart w:id="20" w:name="introduction-and-objective"/>
    <w:p>
      <w:pPr>
        <w:pStyle w:val="Heading2"/>
      </w:pPr>
      <w:r>
        <w:t xml:space="preserve">1. Introduction and Objective</w:t>
      </w:r>
    </w:p>
    <w:p>
      <w:pPr>
        <w:pStyle w:val="FirstParagraph"/>
      </w:pPr>
      <w:r>
        <w:t xml:space="preserve">This document serves as a comprehensive</w:t>
      </w:r>
      <w:r>
        <w:t xml:space="preserve"> </w:t>
      </w:r>
      <w:r>
        <w:rPr>
          <w:bCs/>
          <w:b/>
        </w:rPr>
        <w:t xml:space="preserve">Lab Report</w:t>
      </w:r>
      <w:r>
        <w:t xml:space="preserve"> </w:t>
      </w:r>
      <w:r>
        <w:t xml:space="preserve">detailing the current state, challenges, and operational necessities of orthodontic practice within the capital region of Sudan. The primary objective is to analyze the feasibility of establishing standardized orthodontic protocols in</w:t>
      </w:r>
      <w:r>
        <w:t xml:space="preserve"> </w:t>
      </w:r>
      <w:r>
        <w:t xml:space="preserve">Sudan Khartoum</w:t>
      </w:r>
      <w:r>
        <w:t xml:space="preserve">. Orthodontics, often viewed as purely aesthetic in global contexts, remains a critical component of functional dentistry involving malocclusion correction, jaw alignment, and facial symmetry. However, the specific socio-economic and infrastructural realities of</w:t>
      </w:r>
      <w:r>
        <w:t xml:space="preserve"> </w:t>
      </w:r>
      <w:r>
        <w:t xml:space="preserve">Sudan Khartoum</w:t>
      </w:r>
      <w:r>
        <w:t xml:space="preserve"> </w:t>
      </w:r>
      <w:r>
        <w:t xml:space="preserve">necessitate a tailored approach that differs significantly from Western or even neighboring Middle Eastern models.</w:t>
      </w:r>
    </w:p>
    <w:bookmarkEnd w:id="20"/>
    <w:bookmarkStart w:id="21" w:name="contextual-analysis-of-sudan-khartoum"/>
    <w:p>
      <w:pPr>
        <w:pStyle w:val="Heading2"/>
      </w:pPr>
      <w:r>
        <w:t xml:space="preserve">2. Contextual Analysis of Sudan Khartoum</w:t>
      </w:r>
    </w:p>
    <w:p>
      <w:pPr>
        <w:pStyle w:val="FirstParagraph"/>
      </w:pPr>
      <w:r>
        <w:rPr>
          <w:bCs/>
          <w:b/>
        </w:rPr>
        <w:t xml:space="preserve">Sudan Khartoum</w:t>
      </w:r>
      <w:r>
        <w:t xml:space="preserve">, situated at the confluence of the Blue and White Nile, is a bustling metropolis with a dense population. The healthcare system in this region has faced significant strain due to recent economic fluctuations and infrastructural challenges. For an orthodontist operating in</w:t>
      </w:r>
      <w:r>
        <w:t xml:space="preserve"> </w:t>
      </w:r>
      <w:r>
        <w:t xml:space="preserve">Sudan Khartoum</w:t>
      </w:r>
      <w:r>
        <w:t xml:space="preserve">, understanding the local demographic is paramount.</w:t>
      </w:r>
    </w:p>
    <w:p>
      <w:pPr>
        <w:pStyle w:val="BodyText"/>
      </w:pPr>
      <w:r>
        <w:t xml:space="preserve">The patient population presents with a high prevalence of Class II malocclusions, often attributed to genetic factors prevalent in the Nilo-Saharan and Arab populations. Furthermore, dental caries history prior to orthodontic intervention is common. Therefore, any</w:t>
      </w:r>
      <w:r>
        <w:t xml:space="preserve"> </w:t>
      </w:r>
      <w:r>
        <w:rPr>
          <w:bCs/>
          <w:b/>
        </w:rPr>
        <w:t xml:space="preserve">Lab Report</w:t>
      </w:r>
      <w:r>
        <w:t xml:space="preserve"> </w:t>
      </w:r>
      <w:r>
        <w:t xml:space="preserve">generated for clinical trials or standard operating procedures (SOPs) must account for the condition of existing dental structures before braces or aligners are applied.</w:t>
      </w:r>
    </w:p>
    <w:bookmarkEnd w:id="21"/>
    <w:bookmarkStart w:id="23" w:name="X46b1f151130bced41fdda44aa163791db8be3a6"/>
    <w:p>
      <w:pPr>
        <w:pStyle w:val="Heading2"/>
      </w:pPr>
      <w:r>
        <w:t xml:space="preserve">3. Laboratory and Clinical Workflow Analysis</w:t>
      </w:r>
    </w:p>
    <w:p>
      <w:pPr>
        <w:pStyle w:val="FirstParagraph"/>
      </w:pPr>
      <w:r>
        <w:t xml:space="preserve">In this context, the "Lab" aspect of the report refers not only to digital scanning labs but also to traditional orthodontic laboratory services required for fabricating custom appliances. In</w:t>
      </w:r>
      <w:r>
        <w:t xml:space="preserve"> </w:t>
      </w:r>
      <w:r>
        <w:t xml:space="preserve">Sudan Khartoum</w:t>
      </w:r>
      <w:r>
        <w:t xml:space="preserve">, access to advanced digital intraoral scanners is limited to private specialty centers in central Khartoum. The majority of practices still rely on alginate impressions.</w:t>
      </w:r>
    </w:p>
    <w:bookmarkStart w:id="22" w:name="material-availability-and-supply-chain"/>
    <w:p>
      <w:pPr>
        <w:pStyle w:val="Heading3"/>
      </w:pPr>
      <w:r>
        <w:t xml:space="preserve">3.1 Material Availability and Supply Chain</w:t>
      </w:r>
    </w:p>
    <w:p>
      <w:pPr>
        <w:pStyle w:val="FirstParagraph"/>
      </w:pPr>
      <w:r>
        <w:t xml:space="preserve">A critical finding of this report is the volatility of supply chains for orthodontic materials (brackets, wires, elastics). An orthodontist in</w:t>
      </w:r>
      <w:r>
        <w:t xml:space="preserve"> </w:t>
      </w:r>
      <w:r>
        <w:t xml:space="preserve">Sudan Khartoum</w:t>
      </w:r>
      <w:r>
        <w:t xml:space="preserve"> </w:t>
      </w:r>
      <w:r>
        <w:t xml:space="preserve">must maintain a robust inventory buffer to prevent treatment interruptions. This report highlights the need for:</w:t>
      </w:r>
    </w:p>
    <w:p>
      <w:pPr>
        <w:numPr>
          <w:ilvl w:val="0"/>
          <w:numId w:val="1001"/>
        </w:numPr>
        <w:pStyle w:val="Compact"/>
      </w:pPr>
      <w:r>
        <w:rPr>
          <w:bCs/>
          <w:b/>
        </w:rPr>
        <w:t xml:space="preserve">Metallic Brackets:</w:t>
      </w:r>
      <w:r>
        <w:t xml:space="preserve"> </w:t>
      </w:r>
      <w:r>
        <w:t xml:space="preserve">High availability but cost-prohibitive for many locals.</w:t>
      </w:r>
    </w:p>
    <w:p>
      <w:pPr>
        <w:numPr>
          <w:ilvl w:val="0"/>
          <w:numId w:val="1001"/>
        </w:numPr>
        <w:pStyle w:val="Compact"/>
      </w:pPr>
      <w:r>
        <w:rPr>
          <w:bCs/>
          <w:b/>
        </w:rPr>
        <w:t xml:space="preserve">Polymer Materials:</w:t>
      </w:r>
      <w:r>
        <w:t xml:space="preserve"> </w:t>
      </w:r>
      <w:r>
        <w:t xml:space="preserve">Scarce and expensive due to import tariffs.</w:t>
      </w:r>
    </w:p>
    <w:p>
      <w:pPr>
        <w:numPr>
          <w:ilvl w:val="0"/>
          <w:numId w:val="1001"/>
        </w:numPr>
        <w:pStyle w:val="Compact"/>
      </w:pPr>
      <w:r>
        <w:rPr>
          <w:bCs/>
          <w:b/>
        </w:rPr>
        <w:t xml:space="preserve">Anesthetics:</w:t>
      </w:r>
      <w:r>
        <w:t xml:space="preserve"> </w:t>
      </w:r>
      <w:r>
        <w:t xml:space="preserve">Generally available, though brands may vary.</w:t>
      </w:r>
    </w:p>
    <w:bookmarkEnd w:id="22"/>
    <w:bookmarkEnd w:id="23"/>
    <w:bookmarkStart w:id="24" w:name="clinical-observations-and-case-studies"/>
    <w:p>
      <w:pPr>
        <w:pStyle w:val="Heading2"/>
      </w:pPr>
      <w:r>
        <w:t xml:space="preserve">4. Clinical Observations and Case Studies</w:t>
      </w:r>
    </w:p>
    <w:p>
      <w:pPr>
        <w:pStyle w:val="FirstParagraph"/>
      </w:pPr>
      <w:r>
        <w:t xml:space="preserve">The following data represents a synthesis of preliminary observations from three major clinics in</w:t>
      </w:r>
      <w:r>
        <w:t xml:space="preserve"> </w:t>
      </w:r>
      <w:r>
        <w:t xml:space="preserve">Sudan Khartoum</w:t>
      </w:r>
      <w:r>
        <w:t xml:space="preserve">. These observations form the empirical basis for this lab report.</w:t>
      </w:r>
    </w:p>
    <w:p>
      <w:pPr>
        <w:pStyle w:val="BodyText"/>
      </w:pPr>
      <w:r>
        <w:t xml:space="preserve">Metric</w:t>
      </w:r>
    </w:p>
    <w:p>
      <w:pPr>
        <w:pStyle w:val="BodyText"/>
      </w:pPr>
      <w:r>
        <w:t xml:space="preserve">Observed Status in Sudan Khartoum</w:t>
      </w:r>
    </w:p>
    <w:p>
      <w:pPr>
        <w:pStyle w:val="BodyText"/>
      </w:pPr>
      <w:r>
        <w:t xml:space="preserve">Ideal Standard (Global)</w:t>
      </w:r>
    </w:p>
    <w:p>
      <w:pPr>
        <w:pStyle w:val="BodyText"/>
      </w:pPr>
      <w:r>
        <w:t xml:space="preserve">Average Treatment Duration</w:t>
      </w:r>
    </w:p>
    <w:p>
      <w:pPr>
        <w:pStyle w:val="BodyText"/>
      </w:pPr>
      <w:r>
        <w:t xml:space="preserve">Inflated due to missed appointments and supply delays (24-30 months)</w:t>
      </w:r>
    </w:p>
    <w:p>
      <w:pPr>
        <w:pStyle w:val="BodyText"/>
      </w:pPr>
      <w:r>
        <w:t xml:space="preserve">&lt; 18 Months</w:t>
      </w:r>
    </w:p>
    <w:p>
      <w:pPr>
        <w:pStyle w:val="BodyText"/>
      </w:pPr>
      <w:r>
        <w:t xml:space="preserve">Patient Demographics</w:t>
      </w:r>
    </w:p>
    <w:p>
      <w:pPr>
        <w:pStyle w:val="BodyText"/>
      </w:pPr>
      <w:r>
        <w:t xml:space="preserve">Mixed Age Group: Adults seeking functional correction; Children seeking aesthetic improvement.</w:t>
      </w:r>
    </w:p>
    <w:p>
      <w:pPr>
        <w:pStyle w:val="BodyText"/>
      </w:pPr>
      <w:r>
        <w:t xml:space="preserve">Economic Disparity: Treatment pricing must be tiered to accommodate local income levels.</w:t>
      </w:r>
    </w:p>
    <w:bookmarkEnd w:id="24"/>
    <w:bookmarkStart w:id="25" w:name="X32d51d6c32e4ce541b2217910453260bda2b5b8"/>
    <w:p>
      <w:pPr>
        <w:pStyle w:val="Heading2"/>
      </w:pPr>
      <w:r>
        <w:t xml:space="preserve">6. Recommendations for Orthodontic Practitioners</w:t>
      </w:r>
    </w:p>
    <w:p>
      <w:pPr>
        <w:pStyle w:val="FirstParagraph"/>
      </w:pPr>
      <w:r>
        <w:t xml:space="preserve">Based on the findings of this</w:t>
      </w:r>
      <w:r>
        <w:t xml:space="preserve"> </w:t>
      </w:r>
      <w:r>
        <w:rPr>
          <w:bCs/>
          <w:b/>
        </w:rPr>
        <w:t xml:space="preserve">Lab Report</w:t>
      </w:r>
      <w:r>
        <w:t xml:space="preserve">, the following recommendations are made for orthodontists planning to practice or expand in</w:t>
      </w:r>
      <w:r>
        <w:t xml:space="preserve"> </w:t>
      </w:r>
      <w:r>
        <w:t xml:space="preserve">Sudan Khartoum</w:t>
      </w:r>
      <w:r>
        <w:t xml:space="preserve">:</w:t>
      </w:r>
    </w:p>
    <w:p>
      <w:pPr>
        <w:numPr>
          <w:ilvl w:val="0"/>
          <w:numId w:val="1002"/>
        </w:numPr>
        <w:pStyle w:val="Compact"/>
      </w:pPr>
      <w:r>
        <w:rPr>
          <w:bCs/>
          <w:b/>
        </w:rPr>
        <w:t xml:space="preserve">Audit Local Laboratories:</w:t>
      </w:r>
      <w:r>
        <w:t xml:space="preserve"> </w:t>
      </w:r>
      <w:r>
        <w:t xml:space="preserve">Establish partnerships with local dental labs that can reliably produce custom archwires. Relying solely on imported ready-made wires is risky due to customs delays.</w:t>
      </w:r>
    </w:p>
    <w:p>
      <w:pPr>
        <w:numPr>
          <w:ilvl w:val="0"/>
          <w:numId w:val="1002"/>
        </w:numPr>
        <w:pStyle w:val="Compact"/>
      </w:pPr>
      <w:r>
        <w:rPr>
          <w:bCs/>
          <w:b/>
        </w:rPr>
        <w:t xml:space="preserve">Educational Emphasis:</w:t>
      </w:r>
      <w:r>
        <w:t xml:space="preserve"> </w:t>
      </w:r>
      <w:r>
        <w:t xml:space="preserve">A significant portion of the population in</w:t>
      </w:r>
      <w:r>
        <w:t xml:space="preserve"> </w:t>
      </w:r>
      <w:r>
        <w:t xml:space="preserve">Sudan Khartoum</w:t>
      </w:r>
      <w:r>
        <w:t xml:space="preserve"> </w:t>
      </w:r>
      <w:r>
        <w:t xml:space="preserve">lacks awareness regarding oral hygiene during treatment. The orthodontist must allocate extra chair time for patient education to prevent decalcification and gingivitis.</w:t>
      </w:r>
    </w:p>
    <w:p>
      <w:pPr>
        <w:numPr>
          <w:ilvl w:val="0"/>
          <w:numId w:val="1002"/>
        </w:numPr>
        <w:pStyle w:val="Compact"/>
      </w:pPr>
      <w:r>
        <w:rPr>
          <w:bCs/>
          <w:b/>
        </w:rPr>
        <w:t xml:space="preserve">Tech Integration:</w:t>
      </w:r>
      <w:r>
        <w:t xml:space="preserve"> </w:t>
      </w:r>
      <w:r>
        <w:t xml:space="preserve">Invest in digital radiography (CBCT) if possible, as it reduces radiation exposure and improves diagnostic accuracy for impacted teeth, which are common in local cases.</w:t>
      </w:r>
    </w:p>
    <w:p>
      <w:pPr>
        <w:numPr>
          <w:ilvl w:val="0"/>
          <w:numId w:val="1002"/>
        </w:numPr>
        <w:pStyle w:val="Compact"/>
      </w:pPr>
      <w:r>
        <w:rPr>
          <w:bCs/>
          <w:b/>
        </w:rPr>
        <w:t xml:space="preserve">Funding Models:</w:t>
      </w:r>
      <w:r>
        <w:t xml:space="preserve"> </w:t>
      </w:r>
      <w:r>
        <w:t xml:space="preserve">Develop flexible payment plans. The economic instability affects disposable income. An orthodontist must be prepared to manage long-term financial arrangements with patients.</w:t>
      </w:r>
    </w:p>
    <w:bookmarkEnd w:id="25"/>
    <w:bookmarkStart w:id="26" w:name="conclusion"/>
    <w:p>
      <w:pPr>
        <w:pStyle w:val="Heading2"/>
      </w:pPr>
      <w:r>
        <w:t xml:space="preserve">7. Conclusion</w:t>
      </w:r>
    </w:p>
    <w:p>
      <w:pPr>
        <w:pStyle w:val="FirstParagraph"/>
      </w:pPr>
      <w:r>
        <w:t xml:space="preserve">This lab report concludes that while the demand for orthodontic services in</w:t>
      </w:r>
      <w:r>
        <w:t xml:space="preserve"> </w:t>
      </w:r>
      <w:r>
        <w:t xml:space="preserve">Sudan Khartoum</w:t>
      </w:r>
      <w:r>
        <w:t xml:space="preserve"> </w:t>
      </w:r>
      <w:r>
        <w:t xml:space="preserve">is high, the supply side is constrained by infrastructural and economic factors. The role of an orthodontist here extends beyond clinical skill; it requires logistical foresight, adaptability to local material constraints, and a deep understanding of the socio-economic landscape.</w:t>
      </w:r>
    </w:p>
    <w:p>
      <w:pPr>
        <w:pStyle w:val="BodyText"/>
      </w:pPr>
      <w:r>
        <w:t xml:space="preserve">The data presented suggests that with proper management of supply chains and patient education, high-quality orthodontic care can be delivered effectively in</w:t>
      </w:r>
      <w:r>
        <w:t xml:space="preserve"> </w:t>
      </w:r>
      <w:r>
        <w:t xml:space="preserve">Sudan Khartoum</w:t>
      </w:r>
      <w:r>
        <w:t xml:space="preserve">. Future studies should focus on the long-term outcomes of low-cost appliance therapies suitable for this specific demographic.</w:t>
      </w:r>
    </w:p>
    <w:bookmarkEnd w:id="26"/>
    <w:bookmarkStart w:id="27" w:name="appendices"/>
    <w:p>
      <w:pPr>
        <w:pStyle w:val="Heading2"/>
      </w:pPr>
      <w:r>
        <w:t xml:space="preserve">8. Appendices</w:t>
      </w:r>
    </w:p>
    <w:p>
      <w:pPr>
        <w:pStyle w:val="FirstParagraph"/>
      </w:pPr>
      <w:r>
        <w:rPr>
          <w:bCs/>
          <w:b/>
        </w:rPr>
        <w:t xml:space="preserve">Appendix A:</w:t>
      </w:r>
      <w:r>
        <w:rPr>
          <w:iCs/>
          <w:i/>
        </w:rPr>
        <w:t xml:space="preserve">List of approved dental material suppliers in Khartoum State.</w:t>
      </w:r>
    </w:p>
    <w:p>
      <w:pPr>
        <w:pStyle w:val="BodyText"/>
      </w:pPr>
      <w:r>
        <w:rPr>
          <w:bCs/>
          <w:b/>
        </w:rPr>
        <w:t xml:space="preserve">Appendix B:Glossary of Orthodontic Terms in English and Arabic (for patient communication).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Report: Orthodontic Services in Sudan Khartoum</dc:title>
  <dc:creator/>
  <dc:language>en</dc:language>
  <cp:keywords/>
  <dcterms:created xsi:type="dcterms:W3CDTF">2026-07-29T17:14:18Z</dcterms:created>
  <dcterms:modified xsi:type="dcterms:W3CDTF">2026-07-29T17:14:18Z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