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Diagnostic</w:t>
      </w:r>
      <w:r>
        <w:t xml:space="preserve"> </w:t>
      </w:r>
      <w:r>
        <w:t xml:space="preserve">Report:</w:t>
      </w:r>
      <w:r>
        <w:t xml:space="preserve"> </w:t>
      </w:r>
      <w:r>
        <w:t xml:space="preserve">Orthodontic</w:t>
      </w:r>
      <w:r>
        <w:t xml:space="preserve"> </w:t>
      </w:r>
      <w:r>
        <w:t xml:space="preserve">Assessment</w:t>
      </w:r>
      <w:r>
        <w:t xml:space="preserve"> </w:t>
      </w:r>
      <w:r>
        <w:t xml:space="preserve">Framework</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e22686fe3c1379dcc287a3b826fc92cbc5e1aec"/>
    <w:p>
      <w:pPr>
        <w:pStyle w:val="Heading1"/>
      </w:pPr>
      <w:r>
        <w:t xml:space="preserve">Laboratory Report on Orthodontic Diagnostic Protocols</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Health and Prevention (MOHAP) Regional Directorate, Abu Dhabi</w:t>
      </w:r>
      <w:r>
        <w:br/>
      </w:r>
      <w:r>
        <w:rPr>
          <w:bCs/>
          <w:b/>
        </w:rPr>
        <w:t xml:space="preserve">From:</w:t>
      </w:r>
      <w:r>
        <w:t xml:space="preserve"> </w:t>
      </w:r>
      <w:r>
        <w:t xml:space="preserve">Central Oral &amp; Maxillofacial Diagnostics Laboratory</w:t>
      </w:r>
      <w:r>
        <w:br/>
      </w:r>
      <w:r>
        <w:rPr>
          <w:bCs/>
          <w:b/>
        </w:rPr>
        <w:t xml:space="preserve">Clinical Focus Unit:</w:t>
      </w:r>
      <w:r>
        <w:t xml:space="preserve"> </w:t>
      </w:r>
      <w:r>
        <w:t xml:space="preserve">Advanced Orthodontic Analysis &amp; Treatment Planning</w:t>
      </w:r>
    </w:p>
    <w:bookmarkEnd w:id="20"/>
    <w:bookmarkStart w:id="21" w:name="executive-summary-and-objective"/>
    <w:p>
      <w:pPr>
        <w:pStyle w:val="Heading2"/>
      </w:pPr>
      <w:r>
        <w:t xml:space="preserve">1. Executive Summary and Objective</w:t>
      </w:r>
    </w:p>
    <w:p>
      <w:pPr>
        <w:pStyle w:val="FirstParagraph"/>
      </w:pPr>
      <w:r>
        <w:t xml:space="preserve">The purpose of this comprehensive laboratory report is to analyze the current standards, diagnostic methodologies, and clinical outcomes associated with orthodontic treatments within the United Arab Emirates Abu Dhabi healthcare sector. As a global hub for medical tourism and advanced healthcare, the emirate of Abu Dhabi has established rigorous protocols to ensure high-quality dental care. This report details how modern orthodontic laboratory procedures support clinical diagnosis in this specific geographic and regulatory context. It highlights the integration of digital imaging, 3D printing technologies, and material science innovations that are currently shaping orthodontic practices in the region.</w:t>
      </w:r>
    </w:p>
    <w:p>
      <w:pPr>
        <w:pStyle w:val="BodyText"/>
      </w:pPr>
      <w:r>
        <w:t xml:space="preserve">The United Arab Emirates Abu Dhabi serves as a critical benchmark for healthcare excellence in the Middle East. The laboratory report aims to demonstrate how local clinics align with international standards while addressing the unique demographic and environmental factors prevalent in this specific location. By examining these aspects, we can better understand the evolving landscape of orthodontic care in one of the most rapidly developing urban centers globally.</w:t>
      </w:r>
    </w:p>
    <w:bookmarkEnd w:id="21"/>
    <w:bookmarkStart w:id="25" w:name="Xa4174a3d8749a8b3ed42ee50d61c235b08132ad"/>
    <w:p>
      <w:pPr>
        <w:pStyle w:val="Heading2"/>
      </w:pPr>
      <w:r>
        <w:t xml:space="preserve">2. Diagnostic Methodologies Utilized in United Arab Emirates Abu Dhabi</w:t>
      </w:r>
    </w:p>
    <w:p>
      <w:pPr>
        <w:pStyle w:val="FirstParagraph"/>
      </w:pPr>
      <w:r>
        <w:t xml:space="preserve">In modern orthodontics, accurate diagnosis is paramount. The laboratory report identifies three primary pillars of diagnostic assessment currently employed by leading practitioners in the United Arab Emirates Abu Dhabi.</w:t>
      </w:r>
    </w:p>
    <w:bookmarkStart w:id="22" w:name="Xc708a2fb2015b211cad0f6642d40d07540242a5"/>
    <w:p>
      <w:pPr>
        <w:pStyle w:val="Heading3"/>
      </w:pPr>
      <w:r>
        <w:t xml:space="preserve">2.1 Digital Imaging and Radiographic Analysis</w:t>
      </w:r>
    </w:p>
    <w:p>
      <w:pPr>
        <w:pStyle w:val="FirstParagraph"/>
      </w:pPr>
      <w:r>
        <w:t xml:space="preserve">The shift from analog to digital radiography has been swift in Abu Dhabi. Panoramic X-rays, cephalometric analyses, and cone-beam computed tomography (CBCT) are standard tools. These images allow orthodontists to assess skeletal discrepancies, root positions, and airway volumes with precision. The laboratory data indicates a 40% increase in CBCT usage over the past five years among board-certified orthodontists in the region, reflecting a demand for more detailed pre-surgical planning.</w:t>
      </w:r>
    </w:p>
    <w:bookmarkEnd w:id="22"/>
    <w:bookmarkStart w:id="23" w:name="X60a621de98a1ffceaae76b1ae6435be90efc7a9"/>
    <w:p>
      <w:pPr>
        <w:pStyle w:val="Heading3"/>
      </w:pPr>
      <w:r>
        <w:t xml:space="preserve">2.2 Intraoral Scanning and Digital Impressions</w:t>
      </w:r>
    </w:p>
    <w:p>
      <w:pPr>
        <w:pStyle w:val="FirstParagraph"/>
      </w:pPr>
      <w:r>
        <w:t xml:space="preserve">Gone are the days of traditional alginate impressions for many high-end clinics in Abu Dhabi. Intraoral scanners provide precise digital models that are sent directly to dental laboratories. This technology reduces patient discomfort and allows for immediate visualization of treatment simulations. The laboratory report notes that digital workflows have significantly reduced the turnaround time for appliance fabrication, enhancing patient satisfaction.</w:t>
      </w:r>
    </w:p>
    <w:bookmarkEnd w:id="23"/>
    <w:bookmarkStart w:id="24" w:name="d-printing-and-appliance-fabrication"/>
    <w:p>
      <w:pPr>
        <w:pStyle w:val="Heading3"/>
      </w:pPr>
      <w:r>
        <w:t xml:space="preserve">2.3 3D Printing and Appliance Fabrication</w:t>
      </w:r>
    </w:p>
    <w:p>
      <w:pPr>
        <w:pStyle w:val="FirstParagraph"/>
      </w:pPr>
      <w:r>
        <w:t xml:space="preserve">A significant component of this lab report focuses on additive manufacturing. Local dental laboratories in Abu Dhabi are increasingly utilizing 3D printing to create surgical guides, orthodontic models, and even clear aligner molds. This technological integration ensures that the treatment plans devised by the orthodontist are executed with microscopic precision.</w:t>
      </w:r>
    </w:p>
    <w:bookmarkEnd w:id="24"/>
    <w:bookmarkEnd w:id="25"/>
    <w:bookmarkStart w:id="26" w:name="material-science-and-appliance-types"/>
    <w:p>
      <w:pPr>
        <w:pStyle w:val="Heading2"/>
      </w:pPr>
      <w:r>
        <w:t xml:space="preserve">3. Material Science and Appliance Types</w:t>
      </w:r>
    </w:p>
    <w:p>
      <w:pPr>
        <w:pStyle w:val="FirstParagraph"/>
      </w:pPr>
      <w:r>
        <w:t xml:space="preserve">The choice of materials plays a crucial role in patient outcomes and satisfaction, particularly in a multicultural environment like United Arab Emirates Abu Dhabi, where aesthetic concerns are often prioritized by adult patients. The laboratory analysis covers the following material categories:</w:t>
      </w:r>
    </w:p>
    <w:p>
      <w:pPr>
        <w:pStyle w:val="BodyText"/>
      </w:pPr>
      <w:r>
        <w:t xml:space="preserve">Appliance Type</w:t>
      </w:r>
    </w:p>
    <w:bookmarkEnd w:id="26"/>
    <w:p>
      <w:pPr>
        <w:pStyle w:val="BodyText"/>
      </w:pPr>
      <w:r>
        <w:t xml:space="preserve">Description</w:t>
      </w:r>
    </w:p>
    <w:p>
      <w:pPr>
        <w:pStyle w:val="SourceCode"/>
      </w:pPr>
    </w:p>
    <w:p>
      <w:pPr>
        <w:pStyle w:val="FirstParagraph"/>
      </w:pPr>
      <w:r>
        <w:rPr>
          <w:u w:val="single"/>
          <w:bCs/>
          <w:b/>
        </w:rPr>
        <w:t xml:space="preserve">Note:</w:t>
      </w:r>
      <w:r>
        <w:t xml:space="preserve"> </w:t>
      </w:r>
      <w:r>
        <w:t xml:space="preserve">The following table outlines common materials used in local clinics. However, specific brand recommendations are beyond the scope of this general laboratory report.</w:t>
      </w:r>
      <w:r>
        <w:br/>
      </w:r>
      <w:r>
        <w:br/>
      </w:r>
    </w:p>
    <w:p>
      <w:pPr>
        <w:pStyle w:val="BodyText"/>
      </w:pPr>
      <w:r>
        <w:t xml:space="preserve">Ceramic Brackets</w:t>
      </w:r>
    </w:p>
    <w:p>
      <w:pPr>
        <w:pStyle w:val="BodyText"/>
      </w:pPr>
      <w:r>
        <w:t xml:space="preserve">Tooth-colored brackets that offer a less visible alternative to metal braces, highly popular among adult professionals in Abu Dhabi.</w:t>
      </w:r>
    </w:p>
    <w:p>
      <w:pPr>
        <w:pStyle w:val="BodyText"/>
      </w:pPr>
      <w:r>
        <w:t xml:space="preserve">Lingual Braces</w:t>
      </w:r>
    </w:p>
    <w:p>
      <w:pPr>
        <w:pStyle w:val="BodyText"/>
      </w:pPr>
      <w:r>
        <w:t xml:space="preserve">Invisalign / Clear Aligners</w:t>
      </w:r>
    </w:p>
    <w:p>
      <w:pPr>
        <w:pStyle w:val="BodyText"/>
      </w:pPr>
      <w:r>
        <w:t xml:space="preserve">Dissolvable polyurethane trays customized for each patient stage. This is the fastest-growing segment in the United Arab Emirates Abu Dhabi market.</w:t>
      </w:r>
    </w:p>
    <w:p>
      <w:pPr>
        <w:pStyle w:val="BodyText"/>
      </w:pPr>
      <w:r>
        <w:t xml:space="preserve">Titanium-Molybdenum Alloys</w:t>
      </w:r>
    </w:p>
    <w:p>
      <w:pPr>
        <w:pStyle w:val="BodyText"/>
      </w:pPr>
      <w:r>
        <w:t xml:space="preserve">Moderate elasticity and good formability, used for archwires that require gentle force application over long periods.</w:t>
      </w:r>
    </w:p>
    <w:p>
      <w:pPr>
        <w:pStyle w:val="BodyText"/>
      </w:pPr>
      <w:r>
        <w:br/>
      </w:r>
    </w:p>
    <w:p>
      <w:pPr>
        <w:pStyle w:val="BodyText"/>
      </w:pPr>
      <w:r>
        <w:t xml:space="preserve">The laboratory tests indicate that ceramic brackets have a higher fracture rate than metal but are preferred for aesthetics. Conversely, lingual braces provide the highest level of discretion but may cause temporary speech impediments, which is a consideration for residents in the dynamic business environment of Abu Dhabi.</w:t>
      </w:r>
    </w:p>
    <w:bookmarkStart w:id="27" w:name="X40c0f1d79932384a068d8466e4d44705bb1ecff"/>
    <w:p>
      <w:pPr>
        <w:pStyle w:val="Heading2"/>
      </w:pPr>
      <w:r>
        <w:t xml:space="preserve">4. Environmental and Lifestyle Factors Influencing Orthodontics</w:t>
      </w:r>
    </w:p>
    <w:p>
      <w:pPr>
        <w:pStyle w:val="FirstParagraph"/>
      </w:pPr>
      <w:r>
        <w:t xml:space="preserve">A unique aspect of this laboratory report is the consideration of environmental factors specific to United Arab Emirates Abu Dhabi. The high ambient temperatures and humidity levels can affect certain adhesive systems used in bonding orthodontic brackets.</w:t>
      </w:r>
    </w:p>
    <w:p>
      <w:pPr>
        <w:pStyle w:val="BodyText"/>
      </w:pPr>
      <w:r>
        <w:t xml:space="preserve">Laboratory simulations conducted under controlled conditions mimicking UAE summer climates show that standard composite resins may experience slight variations in polymerization efficiency. Consequently, many clinics in the region have adopted specialized bonding protocols, including extended curing times or light-curing units with higher intensity outputs. This adaptation ensures that brackets remain secure throughout the often lengthy treatment periods.</w:t>
      </w:r>
    </w:p>
    <w:p>
      <w:pPr>
        <w:pStyle w:val="BodyText"/>
      </w:pPr>
      <w:r>
        <w:t xml:space="preserve">Furthermore, dietary habits prevalent in the local culture influence oral hygiene maintenance during treatment. Patients consuming sticky sweets and dates must adhere to strict hygiene regimens to prevent decalcification around bracket sites. The laboratory report emphasizes the importance of patient education materials provided in multiple languages, reflecting the diverse expatriate population of Abu Dhabi.</w:t>
      </w:r>
    </w:p>
    <w:bookmarkEnd w:id="27"/>
    <w:bookmarkStart w:id="28" w:name="Xc42fa79d27d655e40f24b60791566687c618f31"/>
    <w:p>
      <w:pPr>
        <w:pStyle w:val="Heading2"/>
      </w:pPr>
      <w:r>
        <w:t xml:space="preserve">5. Regulatory Compliance and Quality Assurance</w:t>
      </w:r>
    </w:p>
    <w:p>
      <w:pPr>
        <w:pStyle w:val="FirstParagraph"/>
      </w:pPr>
      <w:r>
        <w:t xml:space="preserve">The United Arab Emirates Abu Dhabi operates under strict regulatory frameworks governed by the Department of Health (DOH). All orthodontic devices and materials used in clinics must comply with these local regulations as well as international standards such as ISO certifications.</w:t>
      </w:r>
    </w:p>
    <w:p>
      <w:pPr>
        <w:pStyle w:val="BodyText"/>
      </w:pPr>
      <w:r>
        <w:t xml:space="preserve">This laboratory report verifies that participating dental laboratories adhere to:</w:t>
      </w:r>
    </w:p>
    <w:p>
      <w:pPr>
        <w:pStyle w:val="BodyText"/>
      </w:pPr>
      <w:r>
        <w:rPr>
          <w:bCs/>
          <w:b/>
        </w:rPr>
        <w:t xml:space="preserve">Material Biocompatibility:</w:t>
      </w:r>
      <w:r>
        <w:t xml:space="preserve"> </w:t>
      </w:r>
      <w:r>
        <w:t xml:space="preserve">Ensuring all metals and plastics are non-toxic and hypoallergenic.</w:t>
      </w:r>
    </w:p>
    <w:p>
      <w:pPr>
        <w:pStyle w:val="BodyText"/>
      </w:pPr>
      <w:r>
        <w:rPr>
          <w:bCs/>
          <w:b/>
        </w:rPr>
        <w:t xml:space="preserve">Sterilization Protocols:</w:t>
      </w:r>
      <w:r>
        <w:rPr>
          <w:bCs/>
          <w:b/>
        </w:rPr>
        <w:t xml:space="preserve"> </w:t>
      </w:r>
      <w:r>
        <w:rPr>
          <w:bCs/>
          <w:b/>
        </w:rPr>
        <w:t xml:space="preserve">&lt; li &gt;&lt; Strong&gt;Digital Security : Protecting patient data stored in digital workflows under UAE data protection laws .</w:t>
      </w:r>
    </w:p>
    <w:bookmarkEnd w:id="28"/>
    <w:bookmarkStart w:id="29" w:name="Xc8b89f2a8b76cc1b2b51d0b5bbf7e578956b195"/>
    <w:p>
      <w:pPr>
        <w:pStyle w:val="Heading2"/>
      </w:pPr>
      <w:r>
        <w:t xml:space="preserve">6. Clinical Outcomes and Patient Satisfaction</w:t>
      </w:r>
    </w:p>
    <w:p>
      <w:pPr>
        <w:pStyle w:val="FirstParagraph"/>
      </w:pPr>
      <w:r>
        <w:t xml:space="preserve">Data aggregated from various clinics across the United Arab Emirates Abu Dhabi indicates high levels of patient satisfaction, particularly with aesthetic treatments. The ability to discreetly straighten teeth is a significant driver for adult orthodontic cases.</w:t>
      </w:r>
    </w:p>
    <w:p>
      <w:pPr>
        <w:pStyle w:val="BodyText"/>
      </w:pPr>
      <w:r>
        <w:t xml:space="preserve">The laboratory report highlights that clear aligner therapy has shown comparable efficacy to traditional braces for moderate malocclusions. However, complex skeletal discrepancies often still require fixed appliances or orthognathic surgery combined with orthodontics. The integration of digital planning allows patients to visualize their final smile before treatment begins, a feature highly valued in the competitive healthcare market of Abu Dhabi.</w:t>
      </w:r>
    </w:p>
    <w:bookmarkEnd w:id="29"/>
    <w:bookmarkStart w:id="30" w:name="conclusion-and-recommendations"/>
    <w:p>
      <w:pPr>
        <w:pStyle w:val="Heading2"/>
      </w:pPr>
      <w:r>
        <w:t xml:space="preserve">7. Conclusion and Recommendations</w:t>
      </w:r>
    </w:p>
    <w:p>
      <w:pPr>
        <w:pStyle w:val="FirstParagraph"/>
      </w:pPr>
      <w:r>
        <w:t xml:space="preserve">In conclusion, this laboratory report underscores the advanced state of orthodontic care in United Arab Emirates Abu Dhabi. The region has successfully integrated cutting-edge technology, from digital scanning to 3D printed appliances, while adapting to local environmental and cultural needs.</w:t>
      </w:r>
    </w:p>
    <w:p>
      <w:pPr>
        <w:pStyle w:val="BodyText"/>
      </w:pPr>
      <w:r>
        <w:rPr>
          <w:bCs/>
          <w:b/>
        </w:rPr>
        <w:t xml:space="preserve">Recommendations:</w:t>
      </w:r>
    </w:p>
    <w:p>
      <w:pPr>
        <w:pStyle w:val="BodyText"/>
      </w:pPr>
      <w:r>
        <w:t xml:space="preserve">Clinics should continue investing in digital infrastructure to maintain competitive advantage.</w:t>
      </w:r>
    </w:p>
    <w:p>
      <w:pPr>
        <w:pStyle w:val="BodyText"/>
      </w:pPr>
      <w:r>
        <w:t xml:space="preserve">Patient education materials must be culturally sensitive and linguistically diverse.</w:t>
      </w:r>
    </w:p>
    <w:p>
      <w:pPr>
        <w:pStyle w:val="BodyText"/>
      </w:pPr>
      <w:r>
        <w:t xml:space="preserve">&lt; li &gt;Laboratories must stay updated with the latest adhesive technologies suitable for hot climates .</w:t>
      </w:r>
    </w:p>
    <w:p>
      <w:pPr>
        <w:pStyle w:val="BodyText"/>
      </w:pPr>
      <w:r>
        <w:t xml:space="preserve">By adhering to these standards, the orthodontic community in Abu Dhabi can continue to provide world-class care, ensuring healthy smiles for residents and visitors alike. The synergy between laboratory precision and clinical expertise defines the future of dentistry in this vibrant emirate.</w:t>
      </w:r>
    </w:p>
    <w:bookmarkEnd w:id="30"/>
    <w:bookmarkStart w:id="31" w:name="references"/>
    <w:p>
      <w:pPr>
        <w:pStyle w:val="Heading2"/>
      </w:pPr>
      <w:r>
        <w:t xml:space="preserve">8. References</w:t>
      </w:r>
    </w:p>
    <w:p>
      <w:pPr>
        <w:pStyle w:val="FirstParagraph"/>
      </w:pPr>
      <w:r>
        <w:rPr>
          <w:iCs/>
          <w:i/>
        </w:rPr>
        <w:t xml:space="preserve">Note: For the purpose of this simulated document, references are generalized to reflect standard industry practices in the UAE.</w:t>
      </w:r>
    </w:p>
    <w:p>
      <w:pPr>
        <w:pStyle w:val="BodyText"/>
      </w:pPr>
      <w:r>
        <w:t xml:space="preserve">&lt; li &gt;Department of Health - Abu Dhabi (DOH) Guidelines for Dental Practices .</w:t>
      </w:r>
    </w:p>
    <w:p>
      <w:pPr>
        <w:pStyle w:val="BodyText"/>
      </w:pPr>
      <w:r>
        <w:t xml:space="preserve">&lt; li &gt;International Journal of Orthodontics , recent studies on digital workflow adoption in GCC regions .</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Diagnostic Report: Orthodontic Assessment Framework in the United Arab Emirates, Abu Dhabi</dc:title>
  <dc:creator/>
  <cp:keywords/>
  <dcterms:created xsi:type="dcterms:W3CDTF">2026-07-29T18:09:45Z</dcterms:created>
  <dcterms:modified xsi:type="dcterms:W3CDTF">2026-07-29T18:09:45Z</dcterms:modified>
</cp:coreProperties>
</file>

<file path=docProps/custom.xml><?xml version="1.0" encoding="utf-8"?>
<Properties xmlns="http://schemas.openxmlformats.org/officeDocument/2006/custom-properties" xmlns:vt="http://schemas.openxmlformats.org/officeDocument/2006/docPropsVTypes"/>
</file>