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and</w:t>
      </w:r>
      <w:r>
        <w:t xml:space="preserve"> </w:t>
      </w:r>
      <w:r>
        <w:t xml:space="preserve">Orthodontic</w:t>
      </w:r>
      <w:r>
        <w:t xml:space="preserve"> </w:t>
      </w:r>
      <w:r>
        <w:t xml:space="preserve">Management</w:t>
      </w:r>
      <w:r>
        <w:t xml:space="preserve"> </w:t>
      </w:r>
      <w:r>
        <w:t xml:space="preserve">Protocol:</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for</w:t>
      </w:r>
      <w:r>
        <w:t xml:space="preserve"> </w:t>
      </w:r>
      <w:r>
        <w:t xml:space="preserve">United</w:t>
      </w:r>
      <w:r>
        <w:t xml:space="preserve"> </w:t>
      </w:r>
      <w:r>
        <w:t xml:space="preserve">Kingdom</w:t>
      </w:r>
      <w:r>
        <w:t xml:space="preserve"> </w:t>
      </w:r>
      <w:r>
        <w:t xml:space="preserve">Birmingham</w:t>
      </w:r>
    </w:p>
    <w:bookmarkStart w:id="20" w:name="X72709f41a092a0232efb95e117b6eeb15a3966c"/>
    <w:p>
      <w:pPr>
        <w:pStyle w:val="Heading1"/>
      </w:pPr>
      <w:r>
        <w:t xml:space="preserve">Clinical Evaluation and Orthodontic Management Protocol:</w:t>
      </w:r>
      <w:r>
        <w:br/>
      </w:r>
      <w:r>
        <w:t xml:space="preserve">A Comprehensive Lab Report for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Clinical Review Board, NHS England &amp; Private Practice Consortium</w:t>
      </w:r>
      <w:r>
        <w:br/>
      </w:r>
    </w:p>
    <w:p>
      <w:pPr>
        <w:pStyle w:val="BodyText"/>
      </w:pPr>
      <w:r>
        <w:t xml:space="preserve">From:</w:t>
      </w:r>
    </w:p>
    <w:bookmarkEnd w:id="20"/>
    <w:bookmarkStart w:id="24" w:name="Xeb00846e33cbf7dbcfc5efcd659e65760f21b99"/>
    <w:p>
      <w:pPr>
        <w:pStyle w:val="Heading1"/>
      </w:pPr>
      <w:r>
        <w:t xml:space="preserve">Clinical Evaluation and Orthodontic Management Protocol:</w:t>
      </w:r>
      <w:r>
        <w:br/>
      </w:r>
      <w:r>
        <w:t xml:space="preserve">A Comprehensive Lab Report for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Clinical Review Board, NHS England &amp; Private Practice Consortium</w:t>
      </w:r>
      <w:r>
        <w:br/>
      </w:r>
      <w:r>
        <w:rPr>
          <w:bCs/>
          <w:b/>
        </w:rPr>
        <w:t xml:space="preserve">From:</w:t>
      </w:r>
      <w:r>
        <w:t xml:space="preserve"> </w:t>
      </w:r>
      <w:r>
        <w:t xml:space="preserve">Senior Orthodontic Research Unit</w:t>
      </w:r>
      <w:r>
        <w:br/>
      </w:r>
      <w:r>
        <w:br/>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lab report serves as a critical documentation of the clinical trials and procedural standards associated with modern orthodontic interventions, specifically contextualized for the demographic and regulatory landscape of</w:t>
      </w:r>
      <w:r>
        <w:t xml:space="preserve"> </w:t>
      </w:r>
      <w:r>
        <w:rPr>
          <w:bCs/>
          <w:b/>
        </w:rPr>
        <w:t xml:space="preserve">Birmingham, United Kingdom</w:t>
      </w:r>
      <w:r>
        <w:t xml:space="preserve">. The primary objective of this study was to evaluate the efficacy, safety, and patient compliance rates associated with both fixed appliance therapy (braces) and clear aligner systems within a dual-sector healthcare environment. Birmingham presents a unique case study due to its diverse population density and the complex interplay between National Health Service (NHS) eligibility criteria and private orthodontic services. This document details the methodology, data analysis, and conclusions drawn from extensive patient monitoring across multiple clinics in</w:t>
      </w:r>
      <w:r>
        <w:t xml:space="preserve"> </w:t>
      </w:r>
      <w:r>
        <w:rPr>
          <w:bCs/>
          <w:b/>
        </w:rPr>
        <w:t xml:space="preserve">Birmingham</w:t>
      </w:r>
      <w:r>
        <w:t xml:space="preserve">.</w:t>
      </w:r>
    </w:p>
    <w:bookmarkEnd w:id="21"/>
    <w:bookmarkStart w:id="23" w:name="introduction"/>
    <w:p>
      <w:pPr>
        <w:pStyle w:val="Heading2"/>
      </w:pPr>
      <w:r>
        <w:t xml:space="preserve">2. Introduction</w:t>
      </w:r>
    </w:p>
    <w:p>
      <w:pPr>
        <w:pStyle w:val="FirstParagraph"/>
      </w:pPr>
      <w:r>
        <w:t xml:space="preserve">Orthodontics is a specialized branch of dentistry that deals with the diagnosis, prevention, and correction of malpositioned teeth and jaws. In the context of</w:t>
      </w:r>
      <w:r>
        <w:t xml:space="preserve"> </w:t>
      </w:r>
      <w:r>
        <w:rPr>
          <w:bCs/>
          <w:b/>
        </w:rPr>
        <w:t xml:space="preserve">Birmingham</w:t>
      </w:r>
      <w:r>
        <w:t xml:space="preserve">, a major metropolitan hub in the</w:t>
      </w:r>
      <w:r>
        <w:t xml:space="preserve"> </w:t>
      </w:r>
      <w:r>
        <w:rPr>
          <w:bCs/>
          <w:b/>
        </w:rPr>
        <w:t xml:space="preserve">United Kingdom</w:t>
      </w:r>
      <w:r>
        <w:t xml:space="preserve">, orthodontic demand is driven by both aesthetic desires and functional necessities. The lab report aims to bridge the gap between theoretical biomechanics and clinical application. As an</w:t>
      </w:r>
      <w:r>
        <w:t xml:space="preserve"> </w:t>
      </w:r>
      <w:r>
        <w:rPr>
          <w:iCs/>
          <w:i/>
        </w:rPr>
        <w:t xml:space="preserve">Orthodontist</w:t>
      </w:r>
      <w:r>
        <w:t xml:space="preserve"> </w:t>
      </w:r>
      <w:r>
        <w:t xml:space="preserve">operating within this region, one must navigate strict NHS guidelines which primarily fund treatment for children with significant health-related malocclusions, while private practice caters to adults seeking aesthetic improvements or those whose cases fall outside NHS bands.</w:t>
      </w:r>
    </w:p>
    <w:bookmarkStart w:id="22" w:name="objectives"/>
    <w:p>
      <w:pPr>
        <w:pStyle w:val="Heading3"/>
      </w:pPr>
      <w:r>
        <w:t xml:space="preserve">2.1 Objectives</w:t>
      </w:r>
    </w:p>
    <w:p>
      <w:pPr>
        <w:numPr>
          <w:ilvl w:val="0"/>
          <w:numId w:val="1001"/>
        </w:numPr>
        <w:pStyle w:val="Compact"/>
      </w:pPr>
      <w:r>
        <w:t xml:space="preserve">To assess the treatment duration variance between traditional fixed appliances and clear aligners in</w:t>
      </w:r>
      <w:r>
        <w:t xml:space="preserve"> </w:t>
      </w:r>
      <w:r>
        <w:rPr>
          <w:bCs/>
          <w:b/>
        </w:rPr>
        <w:t xml:space="preserve">Birmingham</w:t>
      </w:r>
      <w:r>
        <w:t xml:space="preserve"> </w:t>
      </w:r>
      <w:r>
        <w:t xml:space="preserve">patients.</w:t>
      </w:r>
    </w:p>
    <w:p>
      <w:pPr>
        <w:numPr>
          <w:ilvl w:val="0"/>
          <w:numId w:val="1001"/>
        </w:numPr>
        <w:pStyle w:val="Compact"/>
      </w:pPr>
      <w:r>
        <w:t xml:space="preserve">To evaluate patient satisfaction and oral hygiene maintenance during treatment in both public and private sectors.</w:t>
      </w:r>
    </w:p>
    <w:bookmarkEnd w:id="22"/>
    <w:bookmarkEnd w:id="23"/>
    <w:bookmarkEnd w:id="24"/>
    <w:bookmarkStart w:id="28" w:name="Xc857a856faa98bc4003f10c0feffe6880c19d05"/>
    <w:p>
      <w:pPr>
        <w:pStyle w:val="Heading1"/>
      </w:pPr>
      <w:r>
        <w:t xml:space="preserve">Clinical Evaluation and Orthodontic Management Protocol:</w:t>
      </w:r>
      <w:r>
        <w:br/>
      </w:r>
      <w:r>
        <w:t xml:space="preserve">A Comprehensive Lab Report for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Clinical Review Board, NHS England &amp; Private Practice Consortium</w:t>
      </w:r>
      <w:r>
        <w:br/>
      </w:r>
      <w:r>
        <w:rPr>
          <w:bCs/>
          <w:b/>
        </w:rPr>
        <w:t xml:space="preserve">From:</w:t>
      </w:r>
      <w:r>
        <w:t xml:space="preserve"> </w:t>
      </w:r>
      <w:r>
        <w:t xml:space="preserve">Senior Orthodontic Research Unit</w:t>
      </w:r>
      <w:r>
        <w:br/>
      </w:r>
      <w:r>
        <w:br/>
      </w:r>
    </w:p>
    <w:p>
      <w:r>
        <w:pict>
          <v:rect style="width:0;height:1.5pt" o:hralign="center" o:hrstd="t" o:hr="t"/>
        </w:pict>
      </w:r>
    </w:p>
    <w:bookmarkStart w:id="25" w:name="executive-summary-1"/>
    <w:p>
      <w:pPr>
        <w:pStyle w:val="Heading2"/>
      </w:pPr>
      <w:r>
        <w:t xml:space="preserve">1. Executive Summary</w:t>
      </w:r>
    </w:p>
    <w:p>
      <w:pPr>
        <w:pStyle w:val="FirstParagraph"/>
      </w:pPr>
      <w:r>
        <w:t xml:space="preserve">This lab report serves as a critical documentation of the clinical trials and procedural standards associated with modern orthodontic interventions, specifically contextualized for the demographic and regulatory landscape of</w:t>
      </w:r>
      <w:r>
        <w:t xml:space="preserve"> </w:t>
      </w:r>
      <w:r>
        <w:rPr>
          <w:bCs/>
          <w:b/>
        </w:rPr>
        <w:t xml:space="preserve">Birmingham, United Kingdom</w:t>
      </w:r>
      <w:r>
        <w:t xml:space="preserve">. The primary objective of this study was to evaluate the efficacy, safety, and patient compliance rates associated with both fixed appliance therapy (braces) and clear aligner systems within a dual-sector healthcare environment. Birmingham presents a unique case study due to its diverse population density and the complex interplay between National Health Service (NHS) eligibility criteria and private orthodontic services. This document details the methodology, data analysis, and conclusions drawn from extensive patient monitoring across multiple clinics in</w:t>
      </w:r>
      <w:r>
        <w:t xml:space="preserve"> </w:t>
      </w:r>
      <w:r>
        <w:rPr>
          <w:bCs/>
          <w:b/>
        </w:rPr>
        <w:t xml:space="preserve">Birmingham</w:t>
      </w:r>
      <w:r>
        <w:t xml:space="preserve">.</w:t>
      </w:r>
    </w:p>
    <w:bookmarkEnd w:id="25"/>
    <w:bookmarkStart w:id="27" w:name="introduction-1"/>
    <w:p>
      <w:pPr>
        <w:pStyle w:val="Heading2"/>
      </w:pPr>
      <w:r>
        <w:t xml:space="preserve">2. Introduction</w:t>
      </w:r>
    </w:p>
    <w:p>
      <w:pPr>
        <w:pStyle w:val="FirstParagraph"/>
      </w:pPr>
      <w:r>
        <w:t xml:space="preserve">Orthodontics is a specialized branch of dentistry that deals with the diagnosis, prevention, and correction of malpositioned teeth and jaws. In the context of</w:t>
      </w:r>
      <w:r>
        <w:t xml:space="preserve"> </w:t>
      </w:r>
      <w:r>
        <w:rPr>
          <w:bCs/>
          <w:b/>
        </w:rPr>
        <w:t xml:space="preserve">Birmingham</w:t>
      </w:r>
      <w:r>
        <w:t xml:space="preserve">, a major metropolitan hub in the</w:t>
      </w:r>
      <w:r>
        <w:t xml:space="preserve"> </w:t>
      </w:r>
      <w:r>
        <w:rPr>
          <w:bCs/>
          <w:b/>
        </w:rPr>
        <w:t xml:space="preserve">United Kingdom</w:t>
      </w:r>
      <w:r>
        <w:t xml:space="preserve">, orthodontic demand is driven by both aesthetic desires and functional necessities. The lab report aims to bridge the gap between theoretical biomechanics and clinical application. As an</w:t>
      </w:r>
      <w:r>
        <w:t xml:space="preserve"> </w:t>
      </w:r>
      <w:r>
        <w:rPr>
          <w:iCs/>
          <w:i/>
        </w:rPr>
        <w:t xml:space="preserve">Orthodontist</w:t>
      </w:r>
      <w:r>
        <w:t xml:space="preserve"> </w:t>
      </w:r>
      <w:r>
        <w:t xml:space="preserve">operating within this region, one must navigate strict NHS guidelines which primarily fund treatment for children with significant health-related malocclusions, while private practice caters to adults seeking aesthetic improvements or those whose cases fall outside NHS bands.</w:t>
      </w:r>
    </w:p>
    <w:bookmarkStart w:id="26" w:name="objectives-1"/>
    <w:p>
      <w:pPr>
        <w:pStyle w:val="Heading3"/>
      </w:pPr>
      <w:r>
        <w:t xml:space="preserve">2.1 Objectives</w:t>
      </w:r>
    </w:p>
    <w:p>
      <w:pPr>
        <w:numPr>
          <w:ilvl w:val="0"/>
          <w:numId w:val="1002"/>
        </w:numPr>
        <w:pStyle w:val="Compact"/>
      </w:pPr>
      <w:r>
        <w:t xml:space="preserve">To assess the treatment duration variance between traditional fixed appliances and clear aligners in</w:t>
      </w:r>
      <w:r>
        <w:t xml:space="preserve"> </w:t>
      </w:r>
      <w:r>
        <w:rPr>
          <w:bCs/>
          <w:b/>
        </w:rPr>
        <w:t xml:space="preserve">Birmingham</w:t>
      </w:r>
      <w:r>
        <w:t xml:space="preserve"> </w:t>
      </w:r>
      <w:r>
        <w:t xml:space="preserve">patients.</w:t>
      </w:r>
    </w:p>
    <w:p>
      <w:pPr>
        <w:numPr>
          <w:ilvl w:val="0"/>
          <w:numId w:val="1002"/>
        </w:numPr>
        <w:pStyle w:val="Compact"/>
      </w:pPr>
      <w:r>
        <w:t xml:space="preserve">To evaluate patient satisfaction and oral hygiene maintenance during treatment in both public and private sectors.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and Orthodontic Management Protocol: A Comprehensive Lab Report for United Kingdom Birmingham</dc:title>
  <dc:creator/>
  <dc:language>en</dc:language>
  <cp:keywords/>
  <dcterms:created xsi:type="dcterms:W3CDTF">2026-07-30T04:10:38Z</dcterms:created>
  <dcterms:modified xsi:type="dcterms:W3CDTF">2026-07-30T04:10:38Z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