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Lab</w:t>
      </w:r>
      <w:r>
        <w:t xml:space="preserve"> </w:t>
      </w:r>
      <w:r>
        <w:t xml:space="preserve">Report:</w:t>
      </w:r>
      <w:r>
        <w:t xml:space="preserve"> </w:t>
      </w:r>
      <w:r>
        <w:t xml:space="preserve">Japan</w:t>
      </w:r>
      <w:r>
        <w:t xml:space="preserve"> </w:t>
      </w:r>
      <w:r>
        <w:t xml:space="preserve">Osaka</w:t>
      </w:r>
      <w:r>
        <w:t xml:space="preserve"> </w:t>
      </w:r>
      <w:r>
        <w:t xml:space="preserve">Initiative</w:t>
      </w:r>
    </w:p>
    <w:bookmarkStart w:id="20" w:name="petroleum-engineering-lab-report"/>
    <w:p>
      <w:pPr>
        <w:pStyle w:val="Heading1"/>
      </w:pPr>
      <w:r>
        <w:t xml:space="preserve">PETROLEUM ENGINEERING LAB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Japan Osaka, Kansai Research Division</w:t>
      </w:r>
      <w:r>
        <w:br/>
      </w:r>
      <w:r>
        <w:rPr>
          <w:bCs/>
          <w:b/>
        </w:rPr>
        <w:t xml:space="preserve">Petroleum Engineer:</w:t>
      </w:r>
      <w:r>
        <w:t xml:space="preserve"> </w:t>
      </w:r>
      <w:r>
        <w:t xml:space="preserve">Dr. A. Tanaka &amp; Team</w:t>
      </w:r>
      <w:r>
        <w:br/>
      </w:r>
      <w:r>
        <w:rPr>
          <w:bCs/>
          <w:b/>
        </w:rPr>
        <w:t xml:space="preserve">Status:</w:t>
      </w:r>
      <w:r>
        <w:t xml:space="preserve"> </w:t>
      </w:r>
      <w:r>
        <w:t xml:space="preserve">Final Review Phase</w:t>
      </w:r>
    </w:p>
    <w:bookmarkEnd w:id="20"/>
    <w:bookmarkStart w:id="21" w:name="executive-summary"/>
    <w:p>
      <w:pPr>
        <w:pStyle w:val="Heading2"/>
      </w:pPr>
      <w:r>
        <w:t xml:space="preserve">1. Executive Summary</w:t>
      </w:r>
    </w:p>
    <w:p>
      <w:pPr>
        <w:pStyle w:val="FirstParagraph"/>
      </w:pPr>
      <w:r>
        <w:t xml:space="preserve">The primary objective of this laboratory report is to analyze the feasibility and operational parameters for a new deep-water drilling initiative situated in the vicinity of Japan Osaka. This document serves as a comprehensive technical assessment conducted by senior Petroleum Engineer specialists, evaluating geological formations, extraction methodologies, and environmental compliance standards specific to the regulatory landscape of Japan Osaka. The findings indicate that while reservoir pressure is within expected bounds for ultra-deep offshore environments, significant modifications to drilling fluid viscosity are required to maintain wellbore stability in the unique sedimentary structures found in this region.</w:t>
      </w:r>
    </w:p>
    <w:bookmarkEnd w:id="21"/>
    <w:bookmarkStart w:id="22" w:name="introduction-and-background"/>
    <w:p>
      <w:pPr>
        <w:pStyle w:val="Heading2"/>
      </w:pPr>
      <w:r>
        <w:t xml:space="preserve">2. Introduction and Background</w:t>
      </w:r>
    </w:p>
    <w:p>
      <w:pPr>
        <w:pStyle w:val="FirstParagraph"/>
      </w:pPr>
      <w:r>
        <w:t xml:space="preserve">The energy landscape of Japan has shifted significantly in recent decades, necessitating a renewed focus on domestic resource exploration to enhance energy security. As a major economic hub, Japan Osaka represents not only a logistical center but also the epicenter for advanced technological integration in industrial engineering. This lab report details the preliminary data collected from exploratory drilling sites off the coast of Japan Osaka.</w:t>
      </w:r>
    </w:p>
    <w:p>
      <w:pPr>
        <w:pStyle w:val="BodyText"/>
      </w:pPr>
      <w:r>
        <w:t xml:space="preserve">The role of the</w:t>
      </w:r>
      <w:r>
        <w:t xml:space="preserve"> </w:t>
      </w:r>
      <w:r>
        <w:rPr>
          <w:bCs/>
          <w:b/>
        </w:rPr>
        <w:t xml:space="preserve">Petroleum Engineer</w:t>
      </w:r>
      <w:r>
        <w:t xml:space="preserve"> </w:t>
      </w:r>
      <w:r>
        <w:t xml:space="preserve">in this context is critical. It involves not only technical extraction but also ensuring that operations align with Japan's stringent environmental protection laws. The specific geological challenges presented by the basins near Japan Osaka require a bespoke approach, distinct from standard North American or Middle Eastern drilling protocols. This report aims to bridge the gap between theoretical geological models and practical engineering applications on-site.</w:t>
      </w:r>
    </w:p>
    <w:bookmarkEnd w:id="22"/>
    <w:bookmarkStart w:id="23" w:name="X00b99f314ba2a941bab1b87fa98c4ed0b79503a"/>
    <w:p>
      <w:pPr>
        <w:pStyle w:val="Heading2"/>
      </w:pPr>
      <w:r>
        <w:t xml:space="preserve">3. Geological Analysis of the Japan Osaka Region</w:t>
      </w:r>
    </w:p>
    <w:p>
      <w:pPr>
        <w:pStyle w:val="FirstParagraph"/>
      </w:pPr>
      <w:r>
        <w:t xml:space="preserve">The subsurface geology of the area adjacent to Japan Osaka presents complex tectonic characteristics. Seismic reflection data indicates a multi-layered sedimentary basin with varying degrees of porosity and permeability.</w:t>
      </w:r>
    </w:p>
    <w:p>
      <w:pPr>
        <w:numPr>
          <w:ilvl w:val="0"/>
          <w:numId w:val="1001"/>
        </w:numPr>
        <w:pStyle w:val="Compact"/>
      </w:pPr>
      <w:r>
        <w:rPr>
          <w:bCs/>
          <w:b/>
        </w:rPr>
        <w:t xml:space="preserve">Sedimentary Composition:</w:t>
      </w:r>
      <w:r>
        <w:t xml:space="preserve"> </w:t>
      </w:r>
      <w:r>
        <w:t xml:space="preserve">The primary reservoir rock consists of Miocene-era sandstone interbedded with shale layers. Analysis shows that the sandstone in the Japan Osaka sector exhibits lower permeability than initially projected, requiring hydraulic fracturing stimulation to achieve commercial flow rates.</w:t>
      </w:r>
    </w:p>
    <w:p>
      <w:pPr>
        <w:numPr>
          <w:ilvl w:val="0"/>
          <w:numId w:val="1001"/>
        </w:numPr>
        <w:pStyle w:val="Compact"/>
      </w:pPr>
      <w:r>
        <w:rPr>
          <w:bCs/>
          <w:b/>
        </w:rPr>
        <w:t xml:space="preserve">Tectonic Stress:</w:t>
      </w:r>
      <w:r>
        <w:t xml:space="preserve"> </w:t>
      </w:r>
      <w:r>
        <w:t xml:space="preserve">Given the seismic activity inherent to Japan, including regions proximal to Osaka, stress modeling is crucial. The Petroleum Engineer team utilized finite element analysis (FEA) to simulate tectonic stresses on the wellbore casing. Results suggest that standard steel grades may be insufficient during high-seismic events.</w:t>
      </w:r>
    </w:p>
    <w:p>
      <w:pPr>
        <w:numPr>
          <w:ilvl w:val="0"/>
          <w:numId w:val="1001"/>
        </w:numPr>
        <w:pStyle w:val="Compact"/>
      </w:pPr>
      <w:r>
        <w:rPr>
          <w:bCs/>
          <w:b/>
        </w:rPr>
        <w:t xml:space="preserve">Pressure Regimes:</w:t>
      </w:r>
      <w:r>
        <w:t xml:space="preserve"> </w:t>
      </w:r>
      <w:r>
        <w:t xml:space="preserve">Pore pressure data collected from core samples indicates an overpressured zone at depths exceeding 4,500 meters. This anomaly is characteristic of certain basins in the Japan Osaka offshore region and requires careful mud-weight management to prevent kick incidents.</w:t>
      </w:r>
    </w:p>
    <w:bookmarkEnd w:id="23"/>
    <w:bookmarkStart w:id="26" w:name="Xc4c4ad9fea0ea97ea0cea53c1a7da741a8e4aeb"/>
    <w:p>
      <w:pPr>
        <w:pStyle w:val="Heading2"/>
      </w:pPr>
      <w:r>
        <w:t xml:space="preserve">4. Methodology: Petroleum Engineering Protocols</w:t>
      </w:r>
    </w:p>
    <w:p>
      <w:pPr>
        <w:pStyle w:val="FirstParagraph"/>
      </w:pPr>
      <w:r>
        <w:t xml:space="preserve">To address the challenges identified above, a multi-phase engineering approach was adopted. The methodology focused on optimizing the drilling process while minimizing environmental impact, a key priority for operations in Japan Osaka.</w:t>
      </w:r>
    </w:p>
    <w:bookmarkStart w:id="24" w:name="drilling-fluid-optimization"/>
    <w:p>
      <w:pPr>
        <w:pStyle w:val="Heading3"/>
      </w:pPr>
      <w:r>
        <w:t xml:space="preserve">4.1 Drilling Fluid Optimization</w:t>
      </w:r>
    </w:p>
    <w:p>
      <w:pPr>
        <w:pStyle w:val="FirstParagraph"/>
      </w:pPr>
      <w:r>
        <w:t xml:space="preserve">The lab tested various synthetic-based mud formulations to ensure compatibility with the reactive shale formations found near Japan Osaka. Traditional water-based fluids caused significant swelling of the clay minerals, leading to wellbore instability. The recommended formulation, developed by our Petroleum Engineer team, utilizes an ester-base fluid that maintains rheological stability even at high temperatures and pressures.</w:t>
      </w:r>
    </w:p>
    <w:bookmarkEnd w:id="24"/>
    <w:bookmarkStart w:id="25" w:name="well-design-and-casing-strategy"/>
    <w:p>
      <w:pPr>
        <w:pStyle w:val="Heading3"/>
      </w:pPr>
      <w:r>
        <w:t xml:space="preserve">4.2 Well Design and Casing Strategy</w:t>
      </w:r>
    </w:p>
    <w:p>
      <w:pPr>
        <w:pStyle w:val="FirstParagraph"/>
      </w:pPr>
      <w:r>
        <w:t xml:space="preserve">The well design was optimized for the specific geomechanical properties of the Japan Osaka basin. We proposed a triple-string casing configuration to isolate multiple pressure zones effectively. This design ensures that inter-zonal communication is prevented, which is vital given the complex faulting present in the region.</w:t>
      </w:r>
    </w:p>
    <w:bookmarkEnd w:id="25"/>
    <w:bookmarkEnd w:id="26"/>
    <w:bookmarkStart w:id="27" w:name="environmental-and-safety-assessment"/>
    <w:p>
      <w:pPr>
        <w:pStyle w:val="Heading2"/>
      </w:pPr>
      <w:r>
        <w:t xml:space="preserve">5. Environmental and Safety Assessment</w:t>
      </w:r>
    </w:p>
    <w:p>
      <w:pPr>
        <w:pStyle w:val="FirstParagraph"/>
      </w:pPr>
      <w:r>
        <w:t xml:space="preserve">Operating in Japan Osaka demands strict adherence to environmental regulations. The lab report includes a detailed assessment of potential ecological impacts.</w:t>
      </w:r>
    </w:p>
    <w:p>
      <w:pPr>
        <w:numPr>
          <w:ilvl w:val="0"/>
          <w:numId w:val="1002"/>
        </w:numPr>
        <w:pStyle w:val="Compact"/>
      </w:pPr>
      <w:r>
        <w:rPr>
          <w:bCs/>
          <w:b/>
        </w:rPr>
        <w:t xml:space="preserve">Mud Disposal:</w:t>
      </w:r>
      <w:r>
        <w:t xml:space="preserve"> </w:t>
      </w:r>
      <w:r>
        <w:t xml:space="preserve">All drilling fluids used must be biodegradable and non-toxic. The synthetic mud selected for this project meets the ISO 13628 standards, ensuring minimal harm to marine ecosystems in the Osaka Bay area.</w:t>
      </w:r>
    </w:p>
    <w:p>
      <w:pPr>
        <w:numPr>
          <w:ilvl w:val="0"/>
          <w:numId w:val="1002"/>
        </w:numPr>
        <w:pStyle w:val="Compact"/>
      </w:pPr>
      <w:r>
        <w:rPr>
          <w:bCs/>
          <w:b/>
        </w:rPr>
        <w:t xml:space="preserve">Emissions Control:</w:t>
      </w:r>
      <w:r>
        <w:t xml:space="preserve"> </w:t>
      </w:r>
      <w:r>
        <w:t xml:space="preserve">On-site generators and drilling rigs have been equipped with carbon capture technologies to reduce the carbon footprint of operations. This aligns with Japan’s broader national goals for decarbonization.</w:t>
      </w:r>
    </w:p>
    <w:p>
      <w:pPr>
        <w:numPr>
          <w:ilvl w:val="0"/>
          <w:numId w:val="1002"/>
        </w:numPr>
        <w:pStyle w:val="Compact"/>
      </w:pPr>
      <w:r>
        <w:rPr>
          <w:bCs/>
          <w:b/>
        </w:rPr>
        <w:t xml:space="preserve">Seismic Monitoring:</w:t>
      </w:r>
      <w:r>
        <w:t xml:space="preserve"> </w:t>
      </w:r>
      <w:r>
        <w:t xml:space="preserve">Continuous microseismic monitoring is installed to detect any induced seismicity. This is a critical safety measure for protecting both the infrastructure and nearby urban centers in Japan Osaka.</w:t>
      </w:r>
    </w:p>
    <w:bookmarkEnd w:id="27"/>
    <w:bookmarkStart w:id="28" w:name="data-analysis-and-results"/>
    <w:p>
      <w:pPr>
        <w:pStyle w:val="Heading2"/>
      </w:pPr>
      <w:r>
        <w:t xml:space="preserve">6. Data Analysis and Results</w:t>
      </w:r>
    </w:p>
    <w:p>
      <w:pPr>
        <w:pStyle w:val="FirstParagraph"/>
      </w:pPr>
      <w:r>
        <w:t xml:space="preserve">Data collected from the initial phase of drilling operations near Japan Osaka has been processed through our proprietary simulation software. Key metrics are summarized below:</w:t>
      </w:r>
    </w:p>
    <w:p>
      <w:pPr>
        <w:pStyle w:val="BodyText"/>
      </w:pPr>
      <w:r>
        <w:rPr>
          <w:bCs/>
          <w:b/>
        </w:rPr>
        <w:t xml:space="preserve">Metric</w:t>
      </w:r>
    </w:p>
    <w:p>
      <w:pPr>
        <w:pStyle w:val="BodyText"/>
      </w:pPr>
      <w:r>
        <w:rPr>
          <w:bCs/>
          <w:b/>
        </w:rPr>
        <w:t xml:space="preserve">Measured Value</w:t>
      </w:r>
    </w:p>
    <w:p>
      <w:pPr>
        <w:pStyle w:val="BodyText"/>
      </w:pPr>
      <w:r>
        <w:rPr>
          <w:bCs/>
          <w:b/>
        </w:rPr>
        <w:t xml:space="preserve">Tolerance Limit</w:t>
      </w:r>
    </w:p>
    <w:p>
      <w:pPr>
        <w:pStyle w:val="BodyText"/>
      </w:pPr>
      <w:r>
        <w:rPr>
          <w:iCs/>
          <w:i/>
        </w:rPr>
        <w:t xml:space="preserve">Status for Japan Osaka Project</w:t>
      </w:r>
    </w:p>
    <w:p>
      <w:pPr>
        <w:pStyle w:val="BodyText"/>
      </w:pPr>
      <w:r>
        <w:t xml:space="preserve">Pass/Fail</w:t>
      </w:r>
    </w:p>
    <w:p>
      <w:pPr>
        <w:pStyle w:val="BodyText"/>
      </w:pPr>
      <w:r>
        <w:t xml:space="preserve">Borehole Stability Index</w:t>
      </w:r>
    </w:p>
    <w:p>
      <w:pPr>
        <w:pStyle w:val="BodyText"/>
      </w:pPr>
      <w:r>
        <w:t xml:space="preserve">8.5 (Scale 1-10)</w:t>
      </w:r>
    </w:p>
    <w:p>
      <w:pPr>
        <w:pStyle w:val="BodyText"/>
      </w:pPr>
      <w:r>
        <w:t xml:space="preserve">&gt; 7.0</w:t>
      </w:r>
    </w:p>
    <w:p>
      <w:pPr>
        <w:pStyle w:val="BodyText"/>
      </w:pPr>
      <w:r>
        <w:t xml:space="preserve">Density of Formation Water</w:t>
      </w:r>
    </w:p>
    <w:p>
      <w:pPr>
        <w:pStyle w:val="BodyText"/>
      </w:pPr>
      <w:r>
        <w:t xml:space="preserve">Pass/Fail"&gt;1,045 kg/m³</w:t>
      </w:r>
    </w:p>
    <w:p>
      <w:pPr>
        <w:pStyle w:val="BodyText"/>
      </w:pPr>
      <w:r>
        <w:t xml:space="preserve">Pass/Fail"&gt;</w:t>
      </w:r>
    </w:p>
    <w:p>
      <w:pPr>
        <w:pStyle w:val="BodyText"/>
      </w:pPr>
      <w:r>
        <w:t xml:space="preserve">Pore Pressure Gradient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Pore Pressure Gradient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&gt;1.8 g/cm³/gm3</w:t>
      </w:r>
    </w:p>
    <w:p>
      <w:pPr>
        <w:pStyle w:val="BodyText"/>
      </w:pPr>
      <w:r>
        <w:t xml:space="preserve">Density of Formation Water (Corrected)</w:t>
      </w:r>
    </w:p>
    <w:p>
      <w:pPr>
        <w:pStyle w:val="BodyText"/>
      </w:pPr>
      <w:r>
        <w:t xml:space="preserve">Pass/Fail"&gt;Pass/Fail"&gt;</w:t>
      </w:r>
    </w:p>
    <w:p>
      <w:pPr>
        <w:pStyle w:val="BodyText"/>
      </w:pPr>
      <w:r>
        <w:t xml:space="preserve">&gt;1.8 g/cm³/gm3</w:t>
      </w:r>
    </w:p>
    <w:p>
      <w:pPr>
        <w:pStyle w:val="BodyText"/>
      </w:pPr>
      <w:r>
        <w:t xml:space="preserve">Density of Formation Water (Corrected)</w:t>
      </w:r>
    </w:p>
    <w:p>
      <w:pPr>
        <w:pStyle w:val="BodyText"/>
      </w:pPr>
      <w:r>
        <w:t xml:space="preserve">Pass/Fail"&gt;Pass/Fail"&gt;</w:t>
      </w:r>
    </w:p>
    <w:bookmarkEnd w:id="28"/>
    <w:bookmarkStart w:id="29" w:name="discussion-and-recommendations"/>
    <w:p>
      <w:pPr>
        <w:pStyle w:val="Heading2"/>
      </w:pPr>
      <w:r>
        <w:t xml:space="preserve">7. Discussion and Recommendations</w:t>
      </w:r>
    </w:p>
    <w:p>
      <w:pPr>
        <w:pStyle w:val="FirstParagraph"/>
      </w:pPr>
      <w:r>
        <w:t xml:space="preserve">The data confirms that drilling in the Japan Osaka region is technically feasible but requires specialized engineering solutions. The Petroleum Engineer team recommends proceeding with Phase 2 of the project, which involves deploying long-reach horizontal wells to maximize reservoir contact given the low permeability of the sandstone.</w:t>
      </w:r>
    </w:p>
    <w:p>
      <w:pPr>
        <w:pStyle w:val="BodyText"/>
      </w:pPr>
      <w:r>
        <w:t xml:space="preserve">Furthermore, collaboration with local geological institutes in Japan Osaka is essential for real-time data sharing. This partnership will enhance our understanding of seismic risks and improve predictive modeling. The integration of AI-driven drilling controls is also recommended to optimize rate-of-penetration while maintaining wellbore integrity.</w:t>
      </w:r>
    </w:p>
    <w:bookmarkEnd w:id="29"/>
    <w:bookmarkStart w:id="30" w:name="conclusion"/>
    <w:p>
      <w:pPr>
        <w:pStyle w:val="Heading2"/>
      </w:pPr>
      <w:r>
        <w:t xml:space="preserve">8. Conclusion</w:t>
      </w:r>
    </w:p>
    <w:p>
      <w:pPr>
        <w:pStyle w:val="FirstParagraph"/>
      </w:pPr>
      <w:r>
        <w:t xml:space="preserve">This lab report concludes that the petroleum potential in the Japan Osaka offshore basin is viable, provided that engineering practices are adapted to local geological and regulatory constraints. The meticulous work of the Petroleum Engineer team has identified critical pathways for success, focusing on stability, safety, and environmental stewardship. By leveraging advanced technology and rigorous scientific methodology, we can ensure sustainable resource extraction that benefits both the energy sector and the region surrounding Japan Osaka.</w:t>
      </w:r>
    </w:p>
    <w:bookmarkEnd w:id="30"/>
    <w:bookmarkStart w:id="31" w:name="references"/>
    <w:p>
      <w:pPr>
        <w:pStyle w:val="Heading2"/>
      </w:pPr>
      <w:r>
        <w:t xml:space="preserve">9. References</w:t>
      </w:r>
    </w:p>
    <w:p>
      <w:pPr>
        <w:numPr>
          <w:ilvl w:val="0"/>
          <w:numId w:val="1003"/>
        </w:numPr>
        <w:pStyle w:val="Compact"/>
      </w:pPr>
      <w:r>
        <w:t xml:space="preserve">Kansai Geotechnical Survey Report (2023).</w:t>
      </w:r>
    </w:p>
    <w:p>
      <w:pPr>
        <w:numPr>
          <w:ilvl w:val="0"/>
          <w:numId w:val="1003"/>
        </w:numPr>
        <w:pStyle w:val="Compact"/>
      </w:pPr>
      <w:r>
        <w:t xml:space="preserve">Japan Ministry of Economy, Trade and Industry (METI) Energy Guidelines.</w:t>
      </w:r>
    </w:p>
    <w:p>
      <w:pPr>
        <w:numPr>
          <w:ilvl w:val="0"/>
          <w:numId w:val="1003"/>
        </w:numPr>
        <w:pStyle w:val="Compact"/>
      </w:pPr>
      <w:r>
        <w:t xml:space="preserve">Society of Petroleum Engineers (SPE) Papers on Deepwater Drilling.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Lab Report: Japan Osaka Initiative</dc:title>
  <dc:creator/>
  <dc:language>en</dc:language>
  <cp:keywords/>
  <dcterms:created xsi:type="dcterms:W3CDTF">2026-07-29T03:50:02Z</dcterms:created>
  <dcterms:modified xsi:type="dcterms:W3CDTF">2026-07-29T03:50:02Z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