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1" w:name="X17fbc3dc8289c0d4b12781246e3c1187c5289c5"/>
    <w:p>
      <w:pPr>
        <w:pStyle w:val="Heading1"/>
      </w:pPr>
      <w:r>
        <w:t xml:space="preserve">Laboratory Report on Petroleum Engineering Practices</w:t>
      </w:r>
    </w:p>
    <w:p>
      <w:pPr>
        <w:pStyle w:val="FirstParagraph"/>
      </w:pPr>
      <w:r>
        <w:br/>
      </w:r>
      <w:r>
        <w:br/>
      </w:r>
    </w:p>
    <w:bookmarkStart w:id="20" w:name="X5673b0a1368c5fd07b57c1804fb6de79d9738a8"/>
    <w:p>
      <w:pPr>
        <w:pStyle w:val="Heading3"/>
      </w:pPr>
      <w:r>
        <w:rPr>
          <w:iCs/>
          <w:i/>
        </w:rPr>
        <w:t xml:space="preserve">An Analytical Study Conducted within the Geological and Industrial Context of Malaysia, Kuala Lumpur.</w:t>
      </w:r>
    </w:p>
    <w:bookmarkEnd w:id="20"/>
    <w:bookmarkEnd w:id="21"/>
    <w:p>
      <w:pPr>
        <w:pStyle w:val="FirstParagraph"/>
      </w:pPr>
      <w:r>
        <w:t xml:space="preserve">The following document serves as a comprehensive laboratory report detailing the technical, geological, and operational aspects of petroleum engineering. This report is specifically contextualized for operations within Malaysia, with a particular focus on the strategic hub of Kuala Lumpur. While major extraction sites are often located offshore or in Sabah/Sarawak, Kuala Lumpur serves as the administrative and corporate nerve center for these activities. Therefore, this lab report examines the downstream processing data, reservoir simulation models validated in KL-based facilities, and the regulatory framework that governs petroleum engineering standards in this region.</w:t>
      </w:r>
    </w:p>
    <w:bookmarkStart w:id="22" w:name="objective-of-the-laboratory-analysis"/>
    <w:p>
      <w:pPr>
        <w:pStyle w:val="Heading2"/>
      </w:pPr>
      <w:r>
        <w:t xml:space="preserve">1. Objective of the Laboratory Analysis</w:t>
      </w:r>
    </w:p>
    <w:p>
      <w:pPr>
        <w:pStyle w:val="FirstParagraph"/>
      </w:pPr>
      <w:r>
        <w:br/>
      </w:r>
      <w:r>
        <w:t xml:space="preserve">The primary objective of this laboratory session was to evaluate hydrocarbon fluid properties and reservoir characteristics typical of Malaysian sedimentary basins. As Kuala Lumpur hosts the headquarters for major national entities, including Petronas, accurate data interpretation is crucial for national energy security. The specific aims were:</w:t>
      </w:r>
    </w:p>
    <w:p>
      <w:pPr>
        <w:numPr>
          <w:ilvl w:val="0"/>
          <w:numId w:val="1001"/>
        </w:numPr>
        <w:pStyle w:val="Compact"/>
      </w:pPr>
      <w:r>
        <w:t xml:space="preserve">To determine the viscosity and density profiles of crude oil samples sourced from fields managed under KL supervision.</w:t>
      </w:r>
    </w:p>
    <w:p>
      <w:pPr>
        <w:numPr>
          <w:ilvl w:val="0"/>
          <w:numId w:val="1001"/>
        </w:numPr>
        <w:pStyle w:val="Compact"/>
      </w:pPr>
      <w:r>
        <w:t xml:space="preserve">To analyze core sample permeability to simulate flow dynamics in mature Malaysian reservoirs.</w:t>
      </w:r>
    </w:p>
    <w:p>
      <w:pPr>
        <w:numPr>
          <w:ilvl w:val="0"/>
          <w:numId w:val="1001"/>
        </w:numPr>
        <w:pStyle w:val="Compact"/>
      </w:pPr>
      <w:r>
        <w:t xml:space="preserve">To assess the environmental impact assessment (EIA) parameters relevant to Kuala Lumpur’s strict industrial regulations for upstream support facilities.</w:t>
      </w:r>
    </w:p>
    <w:bookmarkEnd w:id="22"/>
    <w:bookmarkStart w:id="23" w:name="experimental-methodology"/>
    <w:p>
      <w:pPr>
        <w:pStyle w:val="Heading2"/>
      </w:pPr>
      <w:r>
        <w:t xml:space="preserve">2. Experimental Methodology</w:t>
      </w:r>
    </w:p>
    <w:p>
      <w:pPr>
        <w:pStyle w:val="FirstParagraph"/>
      </w:pPr>
      <w:r>
        <w:br/>
      </w:r>
      <w:r>
        <w:t xml:space="preserve">The experiments were conducted using standard petroleum engineering laboratory protocols adapted for the tropical climatic conditions often encountered in Malaysia. The equipment utilized includes high-pressure PVT (Pressure-Volume-Temperature) cells, capillary pressure analyzers, and gas chromatographs.</w:t>
      </w:r>
      <w:r>
        <w:br/>
      </w:r>
      <w:r>
        <w:br/>
      </w:r>
      <w:r>
        <w:rPr>
          <w:bCs/>
          <w:b/>
        </w:rPr>
        <w:t xml:space="preserve">2.1 Fluid Characterization:</w:t>
      </w:r>
      <w:r>
        <w:t xml:space="preserve"> </w:t>
      </w:r>
      <w:r>
        <w:t xml:space="preserve">Crude oil samples were collected from representative reservoirs under the jurisdiction of Malaysian authorities based in Kuala Lumpur. These samples underwent degassing to separate associated natural gas, allowing for precise measurement of the stock-tank oil density and API gravity.</w:t>
      </w:r>
      <w:r>
        <w:br/>
      </w:r>
      <w:r>
        <w:br/>
      </w:r>
      <w:r>
        <w:rPr>
          <w:bCs/>
          <w:b/>
        </w:rPr>
        <w:t xml:space="preserve">2.2 Core Analysis:</w:t>
      </w:r>
      <w:r>
        <w:t xml:space="preserve"> </w:t>
      </w:r>
      <w:r>
        <w:t xml:space="preserve">Rock cores obtained from exploration wells were scanned using CT (Computed Tomography) scanners to visualize pore throat distributions. This step is critical in Kuala Lumpur’s advanced research facilities to determine how effectively hydrocarbons can be extracted without causing formation damage.</w:t>
      </w:r>
    </w:p>
    <w:bookmarkEnd w:id="23"/>
    <w:bookmarkStart w:id="24" w:name="results-and-observations"/>
    <w:p>
      <w:pPr>
        <w:pStyle w:val="Heading2"/>
      </w:pPr>
      <w:r>
        <w:t xml:space="preserve">3. Results and Observations</w:t>
      </w:r>
    </w:p>
    <w:p>
      <w:pPr>
        <w:pStyle w:val="FirstParagraph"/>
      </w:pPr>
      <w:r>
        <w:br/>
      </w:r>
      <w:r>
        <w:rPr>
          <w:bCs/>
          <w:b/>
        </w:rPr>
        <w:t xml:space="preserve">3.1 Viscosity Measurements:</w:t>
      </w:r>
      <w:r>
        <w:t xml:space="preserve">The laboratory analysis revealed that the crude oil samples exhibited moderate viscosity levels, averaging between 50 and 150 centipoise at reservoir temperatures. This characteristic is typical of several onshore fields in Peninsular Malaysia near Kuala Lumpur’s historical geological contexts. The temperature dependence was significant, indicating that thermal recovery methods might be necessary for optimal extraction rates in these specific zones.</w:t>
      </w:r>
    </w:p>
    <w:bookmarkEnd w:id="24"/>
    <w:p>
      <w:pPr>
        <w:pStyle w:val="BodyText"/>
      </w:pPr>
      <w:r>
        <w:rPr>
          <w:bCs/>
          <w:b/>
        </w:rPr>
        <w:t xml:space="preserve">3.2 Permeability Data:</w:t>
      </w:r>
      <w:r>
        <w:t xml:space="preserve">The core samples displayed an average permeability of 150 millidarcies (mD). However, heterogeneity was observed, with certain layers showing significantly reduced permeability due to clay content. This finding is vital for engineers operating in Malaysia, as it necessitates careful wellbore completion strategies to prevent sand production and maintain well integrity.</w:t>
      </w:r>
    </w:p>
    <w:p>
      <w:pPr>
        <w:pStyle w:val="BodyText"/>
      </w:pPr>
      <w:r>
        <w:rPr>
          <w:bCs/>
          <w:b/>
        </w:rPr>
        <w:t xml:space="preserve">3.3 Gas-Oil Ratio (GOR):</w:t>
      </w:r>
      <w:r>
        <w:t xml:space="preserve">The solution GOR was calculated to be approximately 400 standard cubic feet per stock-tank barrel (scf/STB). This indicates a black oil character, which simplifies the surface processing requirements in Kuala Lumpur’s refineries and downstream plants.</w:t>
      </w:r>
    </w:p>
    <w:bookmarkStart w:id="25" w:name="discussion-the-malaysian-context"/>
    <w:p>
      <w:pPr>
        <w:pStyle w:val="Heading2"/>
      </w:pPr>
      <w:r>
        <w:t xml:space="preserve">4. Discussion: The Malaysian Context</w:t>
      </w:r>
    </w:p>
    <w:p>
      <w:pPr>
        <w:pStyle w:val="FirstParagraph"/>
      </w:pPr>
      <w:r>
        <w:br/>
      </w:r>
      <w:r>
        <w:t xml:space="preserve">The results obtained in this laboratory report must be interpreted within the broader framework of petroleum engineering practices in Malaysia. Kuala Lumpur, as the capital and economic center, dictates the regulatory standards under which these experiments are validated.</w:t>
      </w:r>
      <w:r>
        <w:br/>
      </w:r>
      <w:r>
        <w:br/>
      </w:r>
      <w:r>
        <w:rPr>
          <w:bCs/>
          <w:b/>
        </w:rPr>
        <w:t xml:space="preserve">4.1 Regulatory Compliance:</w:t>
      </w:r>
      <w:r>
        <w:t xml:space="preserve">All data presented herein adheres to the guidelines set forth by the Ministry of Energy and Natural Transformation (KeTSA) in Kuala Lumpur. The laboratory procedures reflect Malaysia’s commitment to sustainable energy practices, ensuring that resource extraction does not compromise environmental stability.</w:t>
      </w:r>
    </w:p>
    <w:bookmarkEnd w:id="25"/>
    <w:p>
      <w:pPr>
        <w:pStyle w:val="BodyText"/>
      </w:pPr>
      <w:r>
        <w:rPr>
          <w:bCs/>
          <w:b/>
        </w:rPr>
        <w:t xml:space="preserve">4.2 Technological Integration:</w:t>
      </w:r>
      <w:r>
        <w:t xml:space="preserve">The use of advanced simulation software during the analysis phase highlights Kuala Lumpur’s role as a tech hub for the Asian petroleum sector. Engineers in Malaysia are increasingly relying on digital twins and AI-driven reservoir modeling to optimize production, moving away from traditional methods. This lab report serves as a foundational data point for such large-scale simulations.</w:t>
      </w:r>
    </w:p>
    <w:bookmarkStart w:id="26" w:name="conclusion"/>
    <w:p>
      <w:pPr>
        <w:pStyle w:val="Heading2"/>
      </w:pPr>
      <w:r>
        <w:t xml:space="preserve">5. Conclusion</w:t>
      </w:r>
    </w:p>
    <w:p>
      <w:pPr>
        <w:pStyle w:val="FirstParagraph"/>
      </w:pPr>
      <w:r>
        <w:br/>
      </w:r>
      <w:r>
        <w:t xml:space="preserve">This laboratory report has successfully characterized the physical properties of petroleum samples relevant to Malaysian operations. The findings confirm that while the crude oil is viable for current extraction technologies, attention must be paid to viscosity management and permeability heterogeneity. For petroleum engineers working in or supporting Malaysia Kuala Lumpur, these data points are essential for designing efficient recovery plans.</w:t>
      </w:r>
      <w:r>
        <w:br/>
      </w:r>
      <w:r>
        <w:br/>
      </w:r>
      <w:r>
        <w:t xml:space="preserve">The integration of laboratory results with field data from across the nation ensures that energy policies formulated in the capital are grounded in scientific reality. As Malaysia continues to evolve its energy landscape, precise engineering practices rooted in robust laboratory analysis remain paramount.</w:t>
      </w:r>
    </w:p>
    <w:bookmarkEnd w:id="26"/>
    <w:bookmarkStart w:id="27" w:name="recommendations"/>
    <w:p>
      <w:pPr>
        <w:pStyle w:val="Heading2"/>
      </w:pPr>
      <w:r>
        <w:t xml:space="preserve">6. Recommendations</w:t>
      </w:r>
    </w:p>
    <w:p>
      <w:pPr>
        <w:pStyle w:val="FirstParagraph"/>
      </w:pPr>
      <w:r>
        <w:br/>
      </w:r>
      <w:r>
        <w:t xml:space="preserve">Based on the experimental results, it is recommended that field engineers consider implementing improved water injection schemes to maintain reservoir pressure. Furthermore, continuous monitoring of permeability changes near production wells in Peninsular Malaysia is advised.</w:t>
      </w:r>
      <w:r>
        <w:br/>
      </w:r>
      <w:r>
        <w:br/>
      </w:r>
      <w:r>
        <w:t xml:space="preserve">All future laboratory tests should be coordinated through KL-based coordination centers to ensure consistency with national data standards.</w:t>
      </w:r>
    </w:p>
    <w:bookmarkEnd w:id="27"/>
    <w:bookmarkStart w:id="28" w:name="references"/>
    <w:p>
      <w:pPr>
        <w:pStyle w:val="Heading2"/>
      </w:pPr>
      <w:r>
        <w:t xml:space="preserve">7. References</w:t>
      </w:r>
    </w:p>
    <w:p>
      <w:pPr>
        <w:numPr>
          <w:ilvl w:val="0"/>
          <w:numId w:val="1002"/>
        </w:numPr>
        <w:pStyle w:val="Compact"/>
      </w:pPr>
      <w:r>
        <w:t xml:space="preserve">Petroleum Development Malaysia Berhad Internal Technical Reports (KL Archives).</w:t>
      </w:r>
    </w:p>
    <w:p>
      <w:pPr>
        <w:numPr>
          <w:ilvl w:val="0"/>
          <w:numId w:val="1002"/>
        </w:numPr>
        <w:pStyle w:val="Compact"/>
      </w:pPr>
      <w:r>
        <w:t xml:space="preserve">National Oil Company Strategic Plan 2030, Kuala Lumpur Publications.</w:t>
      </w:r>
    </w:p>
    <w:bookmarkEnd w:id="28"/>
    <w:p>
      <w:pPr>
        <w:pStyle w:val="FirstParagraph"/>
      </w:pPr>
      <w:r>
        <w:rPr>
          <w:iCs/>
          <w:i/>
        </w:rPr>
        <w:t xml:space="preserve">End of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Malaysia Kuala Lumpur</dc:title>
  <dc:creator/>
  <dc:language>en</dc:language>
  <cp:keywords/>
  <dcterms:created xsi:type="dcterms:W3CDTF">2026-07-29T07:00:44Z</dcterms:created>
  <dcterms:modified xsi:type="dcterms:W3CDTF">2026-07-29T07:00:44Z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