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w:t>
      </w:r>
      <w:r>
        <w:t xml:space="preserve"> </w:t>
      </w:r>
      <w:r>
        <w:t xml:space="preserve">Report:</w:t>
      </w:r>
      <w:r>
        <w:t xml:space="preserve"> </w:t>
      </w:r>
      <w:r>
        <w:t xml:space="preserve">Saudi</w:t>
      </w:r>
      <w:r>
        <w:t xml:space="preserve"> </w:t>
      </w:r>
      <w:r>
        <w:t xml:space="preserve">Arabia</w:t>
      </w:r>
      <w:r>
        <w:t xml:space="preserve"> </w:t>
      </w:r>
      <w:r>
        <w:t xml:space="preserve">Riyadh</w:t>
      </w:r>
      <w:r>
        <w:t xml:space="preserve"> </w:t>
      </w:r>
      <w:r>
        <w:t xml:space="preserve">Operations</w:t>
      </w:r>
    </w:p>
    <w:bookmarkStart w:id="31" w:name="X2ee565597b7951aadbfeb9a93d08b0130e90dbb"/>
    <w:p>
      <w:pPr>
        <w:pStyle w:val="Heading1"/>
      </w:pPr>
      <w:r>
        <w:t xml:space="preserve">Petroleum Engineering Laboratory Report: Subsurface Analysis and Production Optimization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Central Research &amp; Development Facility, Saudi Arabia Riyadh</w:t>
      </w:r>
      <w:r>
        <w:br/>
      </w:r>
      <w:r>
        <w:rPr>
          <w:bCs/>
          <w:b/>
        </w:rPr>
        <w:t xml:space="preserve">Petroleum Engineer Lead:</w:t>
      </w:r>
      <w:r>
        <w:t xml:space="preserve"> </w:t>
      </w:r>
      <w:r>
        <w:t xml:space="preserve">Dr. Ahmed Al-Saud</w:t>
      </w:r>
      <w:r>
        <w:br/>
      </w:r>
      <w:r>
        <w:rPr>
          <w:bCs/>
          <w:b/>
        </w:rPr>
        <w:t xml:space="preserve">Subject:</w:t>
      </w:r>
      <w:r>
        <w:t xml:space="preserve"> </w:t>
      </w:r>
      <w:r>
        <w:t xml:space="preserve">Evaluation of Enhanced Oil Recovery (EOR) Efficiency in Middle Eastern Carbonate Reservoirs</w:t>
      </w:r>
    </w:p>
    <w:bookmarkStart w:id="20" w:name="executive-summary"/>
    <w:p>
      <w:pPr>
        <w:pStyle w:val="Heading2"/>
      </w:pPr>
      <w:r>
        <w:t xml:space="preserve">1.0 Executive Summary</w:t>
      </w:r>
    </w:p>
    <w:p>
      <w:pPr>
        <w:pStyle w:val="FirstParagraph"/>
      </w:pPr>
      <w:r>
        <w:t xml:space="preserve">This laboratory report details the comprehensive analysis conducted by our team of Petroleum Engineers located in Saudi Arabia Riyadh. The primary objective was to evaluate the viability and efficiency of polymer flooding as an Enhanced Oil Recovery (EOR) technique for mature carbonate reservoirs typical of the Arabian Peninsula. The data collected indicates a significant potential for increasing recovery factors by approximately 12-15% beyond primary depletion methods. This report serves as a critical document for strategic planning in the ongoing energy transition and resource maximization efforts within the region.</w:t>
      </w:r>
    </w:p>
    <w:bookmarkEnd w:id="20"/>
    <w:bookmarkStart w:id="21" w:name="introduction"/>
    <w:p>
      <w:pPr>
        <w:pStyle w:val="Heading2"/>
      </w:pPr>
      <w:r>
        <w:t xml:space="preserve">2.0 Introduction</w:t>
      </w:r>
    </w:p>
    <w:p>
      <w:pPr>
        <w:pStyle w:val="FirstParagraph"/>
      </w:pPr>
      <w:r>
        <w:t xml:space="preserve">The Kingdom of Saudi Arabia remains a cornerstone of global energy supply, with vast hydrocarbon reserves situated beneath its desert terrain. As senior Petroleum Engineers operating out of our headquarters in Saudi Arabia Riyadh, we are tasked with ensuring that these resources are extracted with maximum efficiency and minimal environmental impact. The geological formations in this region are predominantly complex carbonates, characterized by heterogeneity and varying permeability profiles.</w:t>
      </w:r>
    </w:p>
    <w:p>
      <w:pPr>
        <w:pStyle w:val="BodyText"/>
      </w:pPr>
      <w:r>
        <w:t xml:space="preserve">The core challenge addressed in this study is the decline of production rates in mature fields following water flooding. While water injection is effective for maintaining reservoir pressure, it often leads to early water breakthrough due to high permeability streaks. Consequently, our laboratory investigations focus on chemical EOR methods, specifically polymer thickening agents designed to improve mobility control and sweep efficiency.</w:t>
      </w:r>
    </w:p>
    <w:bookmarkEnd w:id="21"/>
    <w:bookmarkStart w:id="22" w:name="objectives"/>
    <w:p>
      <w:pPr>
        <w:pStyle w:val="Heading2"/>
      </w:pPr>
      <w:r>
        <w:t xml:space="preserve">3.0 Objectives</w:t>
      </w:r>
    </w:p>
    <w:p>
      <w:pPr>
        <w:pStyle w:val="FirstParagraph"/>
      </w:pPr>
      <w:r>
        <w:t xml:space="preserve">The specific objectives of this laboratory session were:</w:t>
      </w:r>
    </w:p>
    <w:p>
      <w:pPr>
        <w:numPr>
          <w:ilvl w:val="0"/>
          <w:numId w:val="1001"/>
        </w:numPr>
        <w:pStyle w:val="Compact"/>
      </w:pPr>
      <w:r>
        <w:t xml:space="preserve">To determine the rheological properties of partially hydrolyzed polyacrylamide (HPAM) polymers at high temperatures and salinities typical of Saudi Arabian reservoirs.</w:t>
      </w:r>
    </w:p>
    <w:p>
      <w:pPr>
        <w:numPr>
          <w:ilvl w:val="0"/>
          <w:numId w:val="1001"/>
        </w:numPr>
        <w:pStyle w:val="Compact"/>
      </w:pPr>
      <w:r>
        <w:t xml:space="preserve">To measure the residual resistance factor (RRF) and conformal factor in core samples retrieved from key fields in the region.</w:t>
      </w:r>
    </w:p>
    <w:p>
      <w:pPr>
        <w:numPr>
          <w:ilvl w:val="0"/>
          <w:numId w:val="1001"/>
        </w:numPr>
        <w:pStyle w:val="Compact"/>
      </w:pPr>
      <w:r>
        <w:t xml:space="preserve">To simulate field-scale injection scenarios to predict incremental oil recovery rates over a 10-year horizon.</w:t>
      </w:r>
    </w:p>
    <w:bookmarkEnd w:id="22"/>
    <w:bookmarkStart w:id="25" w:name="methodology"/>
    <w:p>
      <w:pPr>
        <w:pStyle w:val="Heading2"/>
      </w:pPr>
      <w:r>
        <w:t xml:space="preserve">4.0 Methodology</w:t>
      </w:r>
    </w:p>
    <w:p>
      <w:pPr>
        <w:pStyle w:val="FirstParagraph"/>
      </w:pPr>
      <w:r>
        <w:t xml:space="preserve">All experiments were conducted at the advanced laboratory facilities in Saudi Arabia Riyadh, utilizing state-of-the-art high-pressure/high-temperature (HPHT) cores. The methodology adhered to standard API guidelines while incorporating specific adjustments for the unique brine chemistry found locally.</w:t>
      </w:r>
    </w:p>
    <w:bookmarkStart w:id="23" w:name="materials-and-equipment"/>
    <w:p>
      <w:pPr>
        <w:pStyle w:val="Heading3"/>
      </w:pPr>
      <w:r>
        <w:t xml:space="preserve">4.1 Materials and Equipment</w:t>
      </w:r>
    </w:p>
    <w:p>
      <w:pPr>
        <w:pStyle w:val="FirstParagraph"/>
      </w:pPr>
      <w:r>
        <w:t xml:space="preserve">The primary materials included synthetic core plugs with porosities ranging from 15% to 20%, representative of local carbonate formations. We utilized HPAM polymers of varying molecular weights, adjusted for thermal stability at reservoir temperatures exceeding 80°C. The brine used was a simplified replica of the formation water found in the central provinces, containing high concentrations of divalent ions (Ca++ and Mg++), which are known to destabilize standard polymer solutions.</w:t>
      </w:r>
    </w:p>
    <w:bookmarkEnd w:id="23"/>
    <w:bookmarkStart w:id="24" w:name="experimental-procedure"/>
    <w:p>
      <w:pPr>
        <w:pStyle w:val="Heading3"/>
      </w:pPr>
      <w:r>
        <w:t xml:space="preserve">4.2 Experimental Procedure</w:t>
      </w:r>
    </w:p>
    <w:p>
      <w:pPr>
        <w:pStyle w:val="FirstParagraph"/>
      </w:pPr>
      <w:r>
        <w:t xml:space="preserve">The process began with core saturation using synthetic brine, followed by baseline relative permeability measurements. Subsequently, polymer slugs were injected at various concentrations (500 ppm to 1500 ppm). Pressure differentials across the core were recorded continuously to calculate viscosity reduction and pore blockage effects. Post-run analysis involved scanning electron microscopy (SEM) to assess any mineral-polymer interactions that could lead to formation damage.</w:t>
      </w:r>
    </w:p>
    <w:bookmarkEnd w:id="24"/>
    <w:bookmarkEnd w:id="25"/>
    <w:bookmarkStart w:id="26" w:name="results-and-data-analysis"/>
    <w:p>
      <w:pPr>
        <w:pStyle w:val="Heading2"/>
      </w:pPr>
      <w:r>
        <w:t xml:space="preserve">5.0 Results and Data Analysis</w:t>
      </w:r>
    </w:p>
    <w:p>
      <w:pPr>
        <w:pStyle w:val="FirstParagraph"/>
      </w:pPr>
      <w:r>
        <w:t xml:space="preserve">The data collected during this intensive laboratory phase in Saudi Arabia Riyadh yielded critical insights into polymer behavior under harsh subsurface conditions.</w:t>
      </w:r>
    </w:p>
    <w:p>
      <w:pPr>
        <w:pStyle w:val="BodyText"/>
      </w:pPr>
      <w:r>
        <w:t xml:space="preserve">Polymer Concentration (ppm)</w:t>
      </w:r>
    </w:p>
    <w:p>
      <w:pPr>
        <w:pStyle w:val="BodyText"/>
      </w:pPr>
      <w:r>
        <w:t xml:space="preserve">In-Situ Viscosity (cp)</w:t>
      </w:r>
    </w:p>
    <w:p>
      <w:pPr>
        <w:pStyle w:val="BodyText"/>
      </w:pPr>
      <w:r>
        <w:t xml:space="preserve">Residual Resistance Factor (RRF)</w:t>
      </w:r>
    </w:p>
    <w:p>
      <w:pPr>
        <w:pStyle w:val="BodyText"/>
      </w:pPr>
      <w:r>
        <w:rPr>
          <w:iCs/>
          <w:i/>
          <w:bCs/>
          <w:b/>
        </w:rPr>
        <w:t xml:space="preserve">Note: RRF indicates the reduction in permeability due to polymer retention.</w:t>
      </w:r>
    </w:p>
    <w:p>
      <w:pPr>
        <w:pStyle w:val="BodyText"/>
      </w:pPr>
      <w:r>
        <w:t xml:space="preserve">500</w:t>
      </w:r>
    </w:p>
    <w:p>
      <w:pPr>
        <w:pStyle w:val="BodyText"/>
      </w:pPr>
      <w:r>
        <w:t xml:space="preserve">12.4</w:t>
      </w:r>
    </w:p>
    <w:p>
      <w:pPr>
        <w:pStyle w:val="BodyText"/>
      </w:pPr>
      <w:r>
        <w:t xml:space="preserve">3.2</w:t>
      </w:r>
    </w:p>
    <w:p>
      <w:pPr>
        <w:pStyle w:val="BodyText"/>
      </w:pPr>
      <w:r>
        <w:t xml:space="preserve">1000</w:t>
      </w:r>
    </w:p>
    <w:p>
      <w:pPr>
        <w:pStyle w:val="BodyText"/>
      </w:pPr>
      <w:r>
        <w:t xml:space="preserve">28.7</w:t>
      </w:r>
    </w:p>
    <w:p>
      <w:pPr>
        <w:pStyle w:val="BodyText"/>
      </w:pPr>
      <w:r>
        <w:t xml:space="preserve">4.5</w:t>
      </w:r>
    </w:p>
    <w:p>
      <w:pPr>
        <w:pStyle w:val="BodyText"/>
      </w:pPr>
      <w:r>
        <w:t xml:space="preserve">1500</w:t>
      </w:r>
    </w:p>
    <w:p>
      <w:pPr>
        <w:pStyle w:val="BodyText"/>
      </w:pPr>
      <w:r>
        <w:rPr>
          <w:bCs/>
          <w:b/>
        </w:rPr>
        <w:t xml:space="preserve">45.1</w:t>
      </w:r>
      <w:r>
        <w:t xml:space="preserve">/span&gt;b&gt;</w:t>
      </w:r>
    </w:p>
    <w:p>
      <w:pPr>
        <w:pStyle w:val="BodyText"/>
      </w:pPr>
      <w:r>
        <w:rPr>
          <w:bCs/>
          <w:b/>
        </w:rPr>
        <w:t xml:space="preserve">6.8</w:t>
      </w:r>
    </w:p>
    <w:p>
      <w:pPr>
        <w:pStyle w:val="BodyText"/>
      </w:pPr>
      <w:r>
        <w:t xml:space="preserve">The results indicate that while higher concentrations yield superior viscosity and better mobility control (lowering the mobility ratio between oil and displacing fluid), they also result in higher retention within the pore spaces, potentially causing formation damage. The optimal balance identified in this laboratory study lies at 1000 ppm, which provides a robust viscosity increase without excessive permeability reduction.</w:t>
      </w:r>
    </w:p>
    <w:bookmarkEnd w:id="26"/>
    <w:bookmarkStart w:id="27" w:name="discussion"/>
    <w:p>
      <w:pPr>
        <w:pStyle w:val="Heading2"/>
      </w:pPr>
      <w:r>
        <w:t xml:space="preserve">6.0 Discussion</w:t>
      </w:r>
    </w:p>
    <w:p>
      <w:pPr>
        <w:pStyle w:val="FirstParagraph"/>
      </w:pPr>
      <w:r>
        <w:t xml:space="preserve">The implications of these findings are profound for the Petroleum Engineering community in Saudi Arabia Riyadh. The high salinity and temperature conditions often degrade standard polymers rapidly, but our stabilized formulation demonstrated excellent thermal stability over 48 hours at reservoir temperatures. This suggests that chemical EOR is not merely a theoretical possibility but a practical solution for extending the economic life of mature fields.</w:t>
      </w:r>
    </w:p>
    <w:p>
      <w:pPr>
        <w:pStyle w:val="BodyText"/>
      </w:pPr>
      <w:r>
        <w:t xml:space="preserve">Furthermore, the data supports the hypothesis that targeted injection strategies can mitigate water cut increases significantly. By improving the volumetric sweep efficiency, we reduce bypassed oil saturation. This aligns with national visions to maximize domestic value from existing assets before transitioning fully to alternative energy sources.</w:t>
      </w:r>
    </w:p>
    <w:bookmarkEnd w:id="27"/>
    <w:bookmarkStart w:id="28" w:name="conclusion"/>
    <w:p>
      <w:pPr>
        <w:pStyle w:val="Heading2"/>
      </w:pPr>
      <w:r>
        <w:t xml:space="preserve">7.0 Conclusion</w:t>
      </w:r>
    </w:p>
    <w:p>
      <w:pPr>
        <w:pStyle w:val="FirstParagraph"/>
      </w:pPr>
      <w:r>
        <w:t xml:space="preserve">This laboratory report confirms that Polymer Flooding is a viable Enhanced Oil Recovery technique for the carbonate reservoirs in Saudi Arabia Riyadh. The Petroleum Engineers involved have successfully demonstrated that optimized polymer concentrations can enhance recovery factors by up to 15%. These results provide a scientific basis for field pilot projects recommended in the subsequent strategic review.</w:t>
      </w:r>
    </w:p>
    <w:p>
      <w:pPr>
        <w:pStyle w:val="BodyText"/>
      </w:pPr>
      <w:r>
        <w:t xml:space="preserve">The rigorous testing conducted in our facilities highlights the technical capability of local engineering teams to innovate and solve complex subsurface challenges. As we look forward, these findings will guide the next phase of reservoir management, ensuring sustainable production levels and operational excellence.</w:t>
      </w:r>
    </w:p>
    <w:bookmarkEnd w:id="28"/>
    <w:bookmarkStart w:id="29" w:name="recommendations"/>
    <w:p>
      <w:pPr>
        <w:pStyle w:val="Heading2"/>
      </w:pPr>
      <w:r>
        <w:t xml:space="preserve">8.0 Recommendations</w:t>
      </w:r>
    </w:p>
    <w:p>
      <w:pPr>
        <w:numPr>
          <w:ilvl w:val="0"/>
          <w:numId w:val="1002"/>
        </w:numPr>
        <w:pStyle w:val="Compact"/>
      </w:pPr>
      <w:r>
        <w:rPr>
          <w:bCs/>
          <w:b/>
        </w:rPr>
        <w:t xml:space="preserve">Pilot Testing:</w:t>
      </w:r>
      <w:r>
        <w:t xml:space="preserve"> </w:t>
      </w:r>
      <w:r>
        <w:t xml:space="preserve">Initiate a small-scale field pilot in a representative mature field to validate laboratory results under real-world flow conditions.</w:t>
      </w:r>
    </w:p>
    <w:p>
      <w:pPr>
        <w:numPr>
          <w:ilvl w:val="0"/>
          <w:numId w:val="1002"/>
        </w:numPr>
        <w:pStyle w:val="Compact"/>
      </w:pPr>
      <w:r>
        <w:rPr>
          <w:bCs/>
          <w:b/>
        </w:rPr>
        <w:t xml:space="preserve">Economic Analysis:</w:t>
      </w:r>
    </w:p>
    <w:p>
      <w:pPr>
        <w:numPr>
          <w:ilvl w:val="0"/>
          <w:numId w:val="1002"/>
        </w:numPr>
        <w:pStyle w:val="Compact"/>
      </w:pPr>
      <w:r>
        <w:rPr>
          <w:bCs/>
          <w:b/>
        </w:rPr>
        <w:t xml:space="preserve">Sustainability Review:</w:t>
      </w:r>
      <w:r>
        <w:t xml:space="preserve"> </w:t>
      </w:r>
      <w:r>
        <w:t xml:space="preserve">Assess the environmental footprint of polymer production and disposal to ensure compliance with Saudi Arabia’s environmental regulations and sustainability goals.</w:t>
      </w:r>
    </w:p>
    <w:bookmarkEnd w:id="29"/>
    <w:bookmarkStart w:id="30" w:name="references"/>
    <w:p>
      <w:pPr>
        <w:pStyle w:val="Heading2"/>
      </w:pPr>
      <w:r>
        <w:t xml:space="preserve">9.0 References</w:t>
      </w:r>
    </w:p>
    <w:p>
      <w:pPr>
        <w:pStyle w:val="FirstParagraph"/>
      </w:pPr>
      <w:r>
        <w:t xml:space="preserve">- Society of Petroleum Engineers (SPE) Papers on Chemical EOR in Carbonates.</w:t>
      </w:r>
      <w:r>
        <w:br/>
      </w:r>
      <w:r>
        <w:t xml:space="preserve">- National Oil Company Technical Standards for Reservoir Characterization.</w:t>
      </w:r>
      <w:r>
        <w:br/>
      </w:r>
      <w:r>
        <w:t xml:space="preserve">- Journal of Petroleum Science and Engineering: Studies on HPAM Stability in High-Salinity Brines.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 Report: Saudi Arabia Riyadh Operations</dc:title>
  <dc:creator/>
  <dc:language>en</dc:language>
  <cp:keywords/>
  <dcterms:created xsi:type="dcterms:W3CDTF">2026-07-29T02:49:29Z</dcterms:created>
  <dcterms:modified xsi:type="dcterms:W3CDTF">2026-07-29T02:49:29Z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