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Operations</w:t>
      </w:r>
      <w:r>
        <w:t xml:space="preserve"> </w:t>
      </w:r>
      <w:r>
        <w:t xml:space="preserve">in</w:t>
      </w:r>
      <w:r>
        <w:t xml:space="preserve"> </w:t>
      </w:r>
      <w:r>
        <w:t xml:space="preserve">Thailand</w:t>
      </w:r>
      <w:r>
        <w:t xml:space="preserve"> </w:t>
      </w:r>
      <w:r>
        <w:t xml:space="preserve">Bangkok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Energy Affairs, Ministry of Energy, Thailand</w:t>
      </w:r>
      <w:r>
        <w:br/>
      </w:r>
      <w:r>
        <w:rPr>
          <w:bCs/>
          <w:b/>
        </w:rPr>
        <w:t xml:space="preserve">Cc:</w:t>
      </w:r>
    </w:p>
    <w:bookmarkStart w:id="24" w:name="Xa9882eba1a5980f07e299c2749afed8478de423"/>
    <w:p>
      <w:pPr>
        <w:pStyle w:val="Heading1"/>
      </w:pPr>
      <w:r>
        <w:t xml:space="preserve">Laboratory Analysis and Engineering Assessment Report</w:t>
      </w:r>
    </w:p>
    <w:bookmarkStart w:id="20" w:name="Xe658addb232bdb7768c1afea391a2009d44e19c"/>
    <w:p>
      <w:pPr>
        <w:pStyle w:val="Heading2"/>
      </w:pPr>
      <w:r>
        <w:t xml:space="preserve">Subject: Comprehensive Evaluation of Petroleum Extraction Methodologies in the Gulf of Thailand Basin</w:t>
      </w:r>
    </w:p>
    <w:p>
      <w:pPr>
        <w:pStyle w:val="FirstParagraph"/>
      </w:pPr>
      <w:r>
        <w:t xml:space="preserve">This document serves as a formal</w:t>
      </w:r>
      <w:r>
        <w:t xml:space="preserve"> </w:t>
      </w:r>
      <w:r>
        <w:rPr>
          <w:bCs/>
          <w:b/>
        </w:rPr>
        <w:t xml:space="preserve">Lab Report</w:t>
      </w:r>
      <w:r>
        <w:t xml:space="preserve">Thailand Bangkok's surrounding energy sectors. As a pivotal hub for energy research and policy in Southeast Asia,</w:t>
      </w:r>
      <w:r>
        <w:t xml:space="preserve"> </w:t>
      </w:r>
      <w:r>
        <w:rPr>
          <w:bCs/>
          <w:b/>
        </w:rPr>
        <w:t xml:space="preserve">Thailand Bangkok</w:t>
      </w:r>
      <w:r>
        <w:t xml:space="preserve"> </w:t>
      </w:r>
      <w:r>
        <w:t xml:space="preserve">continues to serve as the central nerve center for national energy security initiatives. Consequently, this report outlines how advanced petroleum engineering techniques can be adapted to local conditions.</w:t>
      </w:r>
    </w:p>
    <w:bookmarkEnd w:id="20"/>
    <w:bookmarkStart w:id="21" w:name="introduction-and-objectives"/>
    <w:p>
      <w:pPr>
        <w:pStyle w:val="Heading2"/>
      </w:pPr>
      <w:r>
        <w:t xml:space="preserve">1. Introduction and Objectives</w:t>
      </w:r>
    </w:p>
    <w:p>
      <w:pPr>
        <w:pStyle w:val="FirstParagraph"/>
      </w:pPr>
      <w:r>
        <w:t xml:space="preserve">The Kingdom of Thailand has long relied on its domestic oil and gas reserves in the Gulf of Thailand to sustain economic growth and energy independence. As mature fields begin to decline, the role of a specialized</w:t>
      </w:r>
      <w:r>
        <w:t xml:space="preserve"> </w:t>
      </w:r>
      <w:r>
        <w:rPr>
          <w:bCs/>
          <w:b/>
        </w:rPr>
        <w:t xml:space="preserve">Petroleum Engineer</w:t>
      </w:r>
      <w:r>
        <w:t xml:space="preserve"> </w:t>
      </w:r>
      <w:r>
        <w:t xml:space="preserve">becomes increasingly critical in extending field lifespans and unlocking previously inaccessible reserves. This</w:t>
      </w:r>
      <w:r>
        <w:t xml:space="preserve"> </w:t>
      </w:r>
      <w:r>
        <w:rPr>
          <w:bCs/>
          <w:b/>
        </w:rPr>
        <w:t xml:space="preserve">Lab Report</w:t>
      </w:r>
      <w:r>
        <w:t xml:space="preserve"> </w:t>
      </w:r>
      <w:r>
        <w:t xml:space="preserve">aims to document our findings from recent core sample analyses and pressure transient tests conducted on platforms located approximately 200 kilometers east of Bangkok.</w:t>
      </w:r>
    </w:p>
    <w:p>
      <w:pPr>
        <w:pStyle w:val="BodyText"/>
      </w:pPr>
      <w:r>
        <w:t xml:space="preserve">The specific objectives of this laboratory study were threefold: first, to characterize the permeability and porosity variations in the Lower Pliocene reservoirs; second, to evaluate the effectiveness of water injection schemes currently employed by operators in</w:t>
      </w:r>
      <w:r>
        <w:t xml:space="preserve"> </w:t>
      </w:r>
      <w:r>
        <w:rPr>
          <w:bCs/>
          <w:b/>
        </w:rPr>
        <w:t xml:space="preserve">Thailand Bangkok</w:t>
      </w:r>
      <w:r>
        <w:t xml:space="preserve">; and third, to propose enhanced oil recovery (EOR) strategies suitable for the thermal regimes present in these deep-water assets.</w:t>
      </w:r>
    </w:p>
    <w:bookmarkEnd w:id="21"/>
    <w:bookmarkStart w:id="22" w:name="methodology-and-experimental-setup"/>
    <w:p>
      <w:pPr>
        <w:pStyle w:val="Heading2"/>
      </w:pPr>
      <w:r>
        <w:t xml:space="preserve">2. Methodology and Experimental Setup</w:t>
      </w:r>
    </w:p>
    <w:p>
      <w:pPr>
        <w:pStyle w:val="FirstParagraph"/>
      </w:pPr>
      <w:r>
        <w:t xml:space="preserve">To ensure accuracy, our</w:t>
      </w:r>
      <w:r>
        <w:t xml:space="preserve"> </w:t>
      </w:r>
      <w:r>
        <w:rPr>
          <w:bCs/>
          <w:b/>
        </w:rPr>
        <w:t xml:space="preserve">Petroleum Engineer</w:t>
      </w:r>
      <w:r>
        <w:t xml:space="preserve">s utilized state-of-the-art equipment housed in the central laboratory facilities adjacent to the industrial zone of</w:t>
      </w:r>
      <w:r>
        <w:t xml:space="preserve"> </w:t>
      </w:r>
      <w:r>
        <w:rPr>
          <w:bCs/>
          <w:b/>
        </w:rPr>
        <w:t xml:space="preserve">Thailand Bangkok</w:t>
      </w:r>
      <w:r>
        <w:t xml:space="preserve">. The methodology involved a combination of digital core analysis, Scanning Electron Microscopy (SEM), and nuclear magnetic resonance (NMR) logging interpretation.</w:t>
      </w:r>
    </w:p>
    <w:p>
      <w:pPr>
        <w:pStyle w:val="BodyText"/>
      </w:pPr>
      <w:r>
        <w:t xml:space="preserve">All field data collected from offshore rigs were transmitted via satellite links to our servers in Bangkok for immediate processing. This real-time data integration allowed the engineering team to adjust simulation parameters dynamically. The laboratory environment was strictly controlled to maintain ambient temperatures consistent with tropical conditions, reflecting the operational reality of</w:t>
      </w:r>
      <w:r>
        <w:t xml:space="preserve"> </w:t>
      </w:r>
      <w:r>
        <w:rPr>
          <w:bCs/>
          <w:b/>
        </w:rPr>
        <w:t xml:space="preserve">Thailand Bangkok</w:t>
      </w:r>
      <w:r>
        <w:t xml:space="preserve">. Furthermore, all safety protocols adhered to both international API standards and local regulations enforced by the Department of Mineral Fuels in</w:t>
      </w:r>
      <w:r>
        <w:t xml:space="preserve"> </w:t>
      </w:r>
      <w:r>
        <w:rPr>
          <w:bCs/>
          <w:b/>
        </w:rPr>
        <w:t xml:space="preserve">Thailand Bangkok</w:t>
      </w:r>
      <w:r>
        <w:t xml:space="preserve">.</w:t>
      </w:r>
    </w:p>
    <w:bookmarkEnd w:id="22"/>
    <w:bookmarkStart w:id="23" w:name="data-analysis-reservoir-characteristics"/>
    <w:p>
      <w:pPr>
        <w:pStyle w:val="Heading2"/>
      </w:pPr>
      <w:r>
        <w:t xml:space="preserve">3. Data Analysis: Reservoir Characteristics</w:t>
      </w:r>
    </w:p>
    <w:p>
      <w:pPr>
        <w:pStyle w:val="FirstParagraph"/>
      </w:pPr>
      <w:r>
        <w:t xml:space="preserve">The core samples retrieved from the Erawan and Bongkot fields revealed complex heterogeneities. Our</w:t>
      </w:r>
      <w:r>
        <w:t xml:space="preserve"> </w:t>
      </w:r>
      <w:r>
        <w:rPr>
          <w:bCs/>
          <w:b/>
        </w:rPr>
        <w:t xml:space="preserve">Petroleum Engineer</w:t>
      </w:r>
      <w:r>
        <w:t xml:space="preserve">s observed that while initial porosity estimates were within expected ranges, permeability distribution was highly erratic due to diagenetic alterations over geological time scales. This finding is crucial for predicting fluid flow pathways.</w:t>
      </w:r>
    </w:p>
    <w:p>
      <w:pPr>
        <w:pStyle w:val="BodyText"/>
      </w:pPr>
      <w:r>
        <w:rPr>
          <w:bCs/>
          <w:b/>
        </w:rPr>
        <w:t xml:space="preserve">Metric</w:t>
      </w:r>
    </w:p>
    <w:bookmarkEnd w:id="23"/>
    <w:bookmarkEnd w:id="24"/>
    <w:p>
      <w:pPr>
        <w:pStyle w:val="BodyText"/>
      </w:pPr>
      <w:r>
        <w:rPr>
          <w:bCs/>
          <w:b/>
        </w:rPr>
        <w:t xml:space="preserve">Average Value</w:t>
      </w:r>
    </w:p>
    <w:p>
      <w:pPr>
        <w:pStyle w:val="BodyText"/>
      </w:pPr>
      <w:r>
        <w:rPr>
          <w:bCs/>
          <w:b/>
        </w:rPr>
        <w:t xml:space="preserve">Tolerance (%)</w:t>
      </w:r>
    </w:p>
    <w:p>
      <w:pPr>
        <w:pStyle w:val="BodyText"/>
      </w:pPr>
      <w:r>
        <w:t xml:space="preserve">Porosity (Effective)</w:t>
      </w:r>
    </w:p>
    <w:p>
      <w:pPr>
        <w:pStyle w:val="BodyText"/>
      </w:pPr>
      <w:r>
        <w:t xml:space="preserve">18.4%</w:t>
      </w:r>
    </w:p>
    <w:p>
      <w:pPr>
        <w:pStyle w:val="BodyText"/>
      </w:pPr>
      <w:r>
        <w:t xml:space="preserve">±2.1%0:32px;</w:t>
      </w:r>
    </w:p>
    <w:p>
      <w:pPr>
        <w:pStyle w:val="BodyText"/>
      </w:pPr>
      <w:r>
        <w:rPr>
          <w:bCs/>
          <w:b/>
        </w:rPr>
        <w:t xml:space="preserve">Tolerance (%)</w:t>
      </w:r>
    </w:p>
    <w:p>
      <w:pPr>
        <w:pStyle w:val="BodyText"/>
      </w:pPr>
      <w:r>
        <w:t xml:space="preserve">Porosity (Effective)</w:t>
      </w:r>
    </w:p>
    <w:p>
      <w:pPr>
        <w:pStyle w:val="BodyText"/>
      </w:pPr>
      <w:r>
        <w:t xml:space="preserve">18.4%</w:t>
      </w:r>
    </w:p>
    <w:p>
      <w:pPr>
        <w:pStyle w:val="BodyText"/>
      </w:pPr>
      <w:r>
        <w:t xml:space="preserve">± 2.1%</w:t>
      </w:r>
    </w:p>
    <w:p>
      <w:pPr>
        <w:pStyle w:val="BodyText"/>
      </w:pPr>
      <w:r>
        <w:t xml:space="preserve">Metric</w:t>
      </w:r>
    </w:p>
    <w:p>
      <w:pPr>
        <w:pStyle w:val="BodyText"/>
      </w:pPr>
      <w:r>
        <w:t xml:space="preserve">Average Value</w:t>
      </w:r>
    </w:p>
    <w:p>
      <w:pPr>
        <w:pStyle w:val="BodyText"/>
      </w:pPr>
      <w:r>
        <w:t xml:space="preserve">Tolerance (%)</w:t>
      </w:r>
    </w:p>
    <w:p>
      <w:pPr>
        <w:pStyle w:val="BodyText"/>
      </w:pPr>
      <w:r>
        <w:t xml:space="preserve">±2.1%</w:t>
      </w:r>
    </w:p>
    <w:p>
      <w:pPr>
        <w:pStyle w:val="BodyText"/>
      </w:pPr>
      <w:r>
        <w:t xml:space="preserve">Permeability (Air)</w:t>
      </w:r>
    </w:p>
    <w:p>
      <w:pPr>
        <w:pStyle w:val="BodyText"/>
      </w:pPr>
      <w:r>
        <w:t xml:space="preserve">145 mD</w:t>
      </w:r>
    </w:p>
    <w:p>
      <w:pPr>
        <w:pStyle w:val="BodyText"/>
      </w:pPr>
      <w:r>
        <w:t xml:space="preserve">Tolerance (%)</w:t>
      </w:r>
    </w:p>
    <w:p>
      <w:pPr>
        <w:pStyle w:val="BodyText"/>
      </w:pPr>
      <w:r>
        <w:t xml:space="preserve">Porosity (Effective)</w:t>
      </w:r>
    </w:p>
    <w:p>
      <w:pPr>
        <w:pStyle w:val="BodyText"/>
      </w:pPr>
      <w:r>
        <w:t xml:space="preserve">Permeability (Air)</w:t>
      </w:r>
    </w:p>
    <w:p>
      <w:pPr>
        <w:pStyle w:val="BodyText"/>
      </w:pPr>
      <w:r>
        <w:t xml:space="preserve">145 mD</w:t>
      </w:r>
    </w:p>
    <w:p>
      <w:pPr>
        <w:pStyle w:val="BodyText"/>
      </w:pPr>
      <w:r>
        <w:t xml:space="preserve">± 12.0%</w:t>
      </w:r>
    </w:p>
    <w:p>
      <w:pPr>
        <w:pStyle w:val="BodyText"/>
      </w:pPr>
      <w:r>
        <w:t xml:space="preserve">Water Saturation (Initial)</w:t>
      </w:r>
    </w:p>
    <w:p>
      <w:pPr>
        <w:pStyle w:val="BodyText"/>
      </w:pPr>
      <w:r>
        <w:t xml:space="preserve">Permeability (Air)</w:t>
      </w:r>
    </w:p>
    <w:p>
      <w:pPr>
        <w:pStyle w:val="BodyText"/>
      </w:pPr>
      <w:r>
        <w:t xml:space="preserve">±12.0%</w:t>
      </w:r>
    </w:p>
    <w:bookmarkStart w:id="25" w:name="engineering-assessments"/>
    <w:p>
      <w:pPr>
        <w:pStyle w:val="Heading2"/>
      </w:pPr>
      <w:r>
        <w:t xml:space="preserve">4. Engineering Assessments</w:t>
      </w:r>
    </w:p>
    <w:p>
      <w:pPr>
        <w:pStyle w:val="FirstParagraph"/>
      </w:pPr>
      <w:r>
        <w:t xml:space="preserve">A critical finding of this</w:t>
      </w:r>
      <w:r>
        <w:t xml:space="preserve"> </w:t>
      </w:r>
      <w:r>
        <w:rPr>
          <w:bCs/>
          <w:b/>
        </w:rPr>
        <w:t xml:space="preserve">Lab Report</w:t>
      </w:r>
      <w:r>
        <w:t xml:space="preserve">Petroleum Engineers analyzed the chemical composition of the brine and determined that standard inhibitor injection rates were insufficient for current production volumes. This analysis directly impacts operational costs and downtime in</w:t>
      </w:r>
      <w:r>
        <w:t xml:space="preserve"> </w:t>
      </w:r>
      <w:r>
        <w:rPr>
          <w:bCs/>
          <w:b/>
        </w:rPr>
        <w:t xml:space="preserve">Thailand Bangkok</w:t>
      </w:r>
      <w:r>
        <w:t xml:space="preserve">'s energy sector.</w:t>
      </w:r>
    </w:p>
    <w:p>
      <w:pPr>
        <w:pStyle w:val="BodyText"/>
      </w:pPr>
      <w:r>
        <w:t xml:space="preserve">Furthermore, numerical simulation models updated by our team indicate that secondary recovery via water flooding is reaching an economic limit. The water cut has exceeded 75% in several key wells. Therefore, transitioning to tertiary recovery methods is not merely an option but a necessity for maintaining output levels relevant to</w:t>
      </w:r>
      <w:r>
        <w:t xml:space="preserve"> </w:t>
      </w:r>
      <w:r>
        <w:rPr>
          <w:bCs/>
          <w:b/>
        </w:rPr>
        <w:t xml:space="preserve">Thailand Bangkok</w:t>
      </w:r>
      <w:r>
        <w:t xml:space="preserve">'s energy demands.</w:t>
      </w:r>
    </w:p>
    <w:bookmarkEnd w:id="25"/>
    <w:bookmarkStart w:id="27" w:name="recommendations"/>
    <w:p>
      <w:pPr>
        <w:pStyle w:val="Heading2"/>
      </w:pPr>
      <w:r>
        <w:t xml:space="preserve">5. Recommendations</w:t>
      </w:r>
    </w:p>
    <w:p>
      <w:pPr>
        <w:pStyle w:val="FirstParagraph"/>
      </w:pPr>
      <w:r>
        <w:t xml:space="preserve">Based on the data presented, the following recommendations are proposed for immediate implementation by stakeholders in</w:t>
      </w:r>
      <w:r>
        <w:t xml:space="preserve"> </w:t>
      </w:r>
      <w:r>
        <w:rPr>
          <w:bCs/>
          <w:b/>
        </w:rPr>
        <w:t xml:space="preserve">Petroleum Engineer</w:t>
      </w:r>
      <w:r>
        <w:t xml:space="preserve">s and management teams operating in</w:t>
      </w:r>
      <w:r>
        <w:t xml:space="preserve"> </w:t>
      </w:r>
      <w:hyperlink r:id="rId26">
        <w:r>
          <w:rPr>
            <w:rStyle w:val="Hyperlink"/>
          </w:rPr>
          <w:t xml:space="preserve">Thailand Bangkok</w:t>
        </w:r>
      </w:hyperlink>
      <w:r>
        <w:t xml:space="preserve">:</w:t>
      </w:r>
    </w:p>
    <w:p>
      <w:pPr>
        <w:numPr>
          <w:ilvl w:val="0"/>
          <w:numId w:val="1001"/>
        </w:numPr>
        <w:pStyle w:val="Compact"/>
      </w:pPr>
      <w:r>
        <w:rPr>
          <w:bCs/>
          <w:b/>
        </w:rPr>
        <w:t xml:space="preserve">Implementation of Chemical EOR:</w:t>
      </w:r>
      <w:r>
        <w:t xml:space="preserve"> </w:t>
      </w:r>
      <w:r>
        <w:t xml:space="preserve">It is recommended to pilot a polymer flooding scheme in the shallow reservoirs. This method has shown promise in similar geological settings and can significantly improve sweep efficiency.</w:t>
      </w:r>
    </w:p>
    <w:p>
      <w:pPr>
        <w:numPr>
          <w:ilvl w:val="0"/>
          <w:numId w:val="1001"/>
        </w:numPr>
        <w:pStyle w:val="Compact"/>
      </w:pPr>
      <w:r>
        <w:t xml:space="preserve">Scaled-Up Corrosion Management:</w:t>
      </w:r>
    </w:p>
    <w:p>
      <w:pPr>
        <w:pStyle w:val="FirstParagraph"/>
      </w:pPr>
      <w:r>
        <w:rPr>
          <w:bCs/>
          <w:b/>
        </w:rPr>
        <w:t xml:space="preserve">Scaled-Up Corrosion Management:</w:t>
      </w:r>
      <w:r>
        <w:t xml:space="preserve"> </w:t>
      </w:r>
      <w:r>
        <w:t xml:space="preserve">Immediate review and adjustment of inhibitor injection profiles are required to mitigate scaling risks.</w:t>
      </w:r>
    </w:p>
    <w:p>
      <w:pPr>
        <w:pStyle w:val="BodyText"/>
      </w:pPr>
      <w:r>
        <w:t xml:space="preserve">Digital Twin Integration:</w:t>
      </w:r>
    </w:p>
    <w:bookmarkEnd w:id="27"/>
    <w:bookmarkStart w:id="29" w:name="recommendations-1"/>
    <w:p>
      <w:pPr>
        <w:pStyle w:val="Heading2"/>
      </w:pPr>
      <w:r>
        <w:t xml:space="preserve">5. Recommendations</w:t>
      </w:r>
    </w:p>
    <w:p>
      <w:pPr>
        <w:pStyle w:val="FirstParagraph"/>
      </w:pPr>
      <w:r>
        <w:t xml:space="preserve">The following recommendations are proposed:</w:t>
      </w:r>
    </w:p>
    <w:p>
      <w:pPr>
        <w:pStyle w:val="BodyText"/>
      </w:pPr>
      <w:r>
        <w:t xml:space="preserve">Scaled-Up Corrosion Management:&gt;Immediate review and adjustment of inhibitor injection profiles are required to mitigate scaling risks.</w:t>
      </w:r>
    </w:p>
    <w:p>
      <w:pPr>
        <w:pStyle w:val="BodyText"/>
      </w:pPr>
      <w:r>
        <w:t xml:space="preserve">Digital Twin Integration:&gt;Enhance the digital twin models of existing fields using the new core data. This will allow for more accurate forecasting in</w:t>
      </w:r>
      <w:r>
        <w:t xml:space="preserve"> </w:t>
      </w:r>
      <w:r>
        <w:rPr>
          <w:bCs/>
          <w:b/>
        </w:rPr>
        <w:t xml:space="preserve">Thailand Bangkok</w:t>
      </w:r>
      <w:r>
        <w:t xml:space="preserve">.</w:t>
      </w:r>
    </w:p>
    <w:p>
      <w:pPr>
        <w:pStyle w:val="BodyText"/>
      </w:pPr>
      <w:r>
        <w:t xml:space="preserve">Workforce Development:&gt;Invest in training programs for local engineers specializing in EOR techniques, ensuring sustainable expertise within</w:t>
      </w:r>
      <w:r>
        <w:t xml:space="preserve"> </w:t>
      </w:r>
      <w:hyperlink r:id="rId28">
        <w:r>
          <w:rPr>
            <w:rStyle w:val="Hyperlink"/>
          </w:rPr>
          <w:t xml:space="preserve">Thailand Bangkok</w:t>
        </w:r>
      </w:hyperlink>
      <w:r>
        <w:t xml:space="preserve">.</w:t>
      </w:r>
    </w:p>
    <w:bookmarkEnd w:id="29"/>
    <w:bookmarkStart w:id="31" w:name="conclusion"/>
    <w:p>
      <w:pPr>
        <w:pStyle w:val="Heading2"/>
      </w:pPr>
      <w:r>
        <w:t xml:space="preserve">6. Conclusion</w:t>
      </w:r>
    </w:p>
    <w:p>
      <w:pPr>
        <w:pStyle w:val="FirstParagraph"/>
      </w:pPr>
      <w:r>
        <w:t xml:space="preserve">This</w:t>
      </w:r>
      <w:r>
        <w:t xml:space="preserve"> </w:t>
      </w:r>
      <w:r>
        <w:rPr>
          <w:bCs/>
          <w:b/>
        </w:rPr>
        <w:t xml:space="preserve">Lab Report</w:t>
      </w:r>
      <w:r>
        <w:t xml:space="preserve">Thailand BangkokPetroleum Engineer team underscore the importance of data-driven decision-making. By adhering to these recommendations, stakeholders can ensure that</w:t>
      </w:r>
      <w:r>
        <w:t xml:space="preserve"> </w:t>
      </w:r>
      <w:r>
        <w:rPr>
          <w:bCs/>
          <w:b/>
        </w:rPr>
        <w:t xml:space="preserve">Thailand Bangkok</w:t>
      </w:r>
    </w:p>
    <w:p>
      <w:pPr>
        <w:pStyle w:val="BodyText"/>
      </w:pPr>
      <w:r>
        <w:t xml:space="preserve">In conclusion, the synergy between rigorous laboratory analysis and practical engineering application is vital. As we continue to serve the needs of</w:t>
      </w:r>
      <w:r>
        <w:t xml:space="preserve"> </w:t>
      </w:r>
      <w:hyperlink r:id="rId26">
        <w:r>
          <w:rPr>
            <w:rStyle w:val="Hyperlink"/>
          </w:rPr>
          <w:t xml:space="preserve">Thailand Bangkok</w:t>
        </w:r>
      </w:hyperlink>
      <w:r>
        <w:t xml:space="preserve">, our commitment to scientific excellence in every</w:t>
      </w:r>
      <w:r>
        <w:t xml:space="preserve"> </w:t>
      </w:r>
      <w:r>
        <w:rPr>
          <w:bCs/>
          <w:b/>
        </w:rPr>
        <w:t xml:space="preserve">Lab Report</w:t>
      </w:r>
      <w:r>
        <w:t xml:space="preserve"> </w:t>
      </w:r>
      <w:r>
        <w:t xml:space="preserve">ensures that the region's energy future is secure, efficient, and sustainable.</w:t>
      </w:r>
    </w:p>
    <w:p>
      <w:r>
        <w:pict>
          <v:rect style="width:0;height:1.5pt" o:hralign="center" o:hrstd="t" o:hr="t"/>
        </w:pict>
      </w:r>
    </w:p>
    <w:p>
      <w:pPr>
        <w:pStyle w:val="FirstParagraph"/>
      </w:pPr>
      <w:r>
        <w:rPr>
          <w:iCs/>
          <w:i/>
        </w:rPr>
        <w:t xml:space="preserve">Note: This document is confidential and intended solely for authorized personnel involved in the</w:t>
      </w:r>
      <w:r>
        <w:rPr>
          <w:iCs/>
          <w:i/>
        </w:rPr>
        <w:t xml:space="preserve"> </w:t>
      </w:r>
      <w:hyperlink r:id="rId30">
        <w:r>
          <w:rPr>
            <w:rStyle w:val="Hyperlink"/>
            <w:iCs/>
            <w:i/>
          </w:rPr>
          <w:t xml:space="preserve">Petroleum Engineer</w:t>
        </w:r>
      </w:hyperlink>
      <w:r>
        <w:rPr>
          <w:iCs/>
          <w:i/>
        </w:rPr>
        <w:t xml:space="preserve"> </w:t>
      </w:r>
      <w:r>
        <w:rPr>
          <w:iCs/>
          <w:i/>
        </w:rPr>
        <w:t xml:space="preserve">operations within</w:t>
      </w:r>
      <w:r>
        <w:rPr>
          <w:iCs/>
          <w:i/>
        </w:rPr>
        <w:t xml:space="preserve"> </w:t>
      </w:r>
      <w:hyperlink r:id="rId26">
        <w:r>
          <w:rPr>
            <w:rStyle w:val="Hyperlink"/>
            <w:iCs/>
            <w:i/>
          </w:rPr>
          <w:t xml:space="preserve">Thailand Bangkok</w:t>
        </w:r>
      </w:hyperlink>
      <w:r>
        <w:rPr>
          <w:iCs/>
          <w:i/>
        </w:rPr>
        <w:t xml:space="preserve">.</w:t>
      </w:r>
    </w:p>
    <w:p>
      <w:pPr>
        <w:pStyle w:val="BodyText"/>
      </w:pPr>
      <w:r>
        <w:t xml:space="preserve">© 2023 Energy Research Laboratory,</w:t>
      </w:r>
      <w:r>
        <w:t xml:space="preserve"> </w:t>
      </w:r>
      <w:r>
        <w:rPr>
          <w:bCs/>
          <w:b/>
        </w:rPr>
        <w:t xml:space="preserve">Petroleum Engineer</w:t>
      </w:r>
      <w:r>
        <w:t xml:space="preserve"> </w:t>
      </w:r>
      <w:r>
        <w:t xml:space="preserve">Division.</w:t>
      </w:r>
      <w:r>
        <w:br/>
      </w:r>
      <w:r>
        <w:t xml:space="preserve">Location: Central Thailand,</w:t>
      </w:r>
      <w:r>
        <w:t xml:space="preserve"> </w:t>
      </w:r>
      <w:hyperlink r:id="rId26">
        <w:r>
          <w:rPr>
            <w:rStyle w:val="Hyperlink"/>
          </w:rPr>
          <w:t xml:space="preserve">Thailand Bangkok</w:t>
        </w:r>
      </w:hyperlink>
      <w:r>
        <w:t xml:space="preserve">.</w:t>
      </w:r>
      <w:r>
        <w:br/>
      </w:r>
      <w:r>
        <w:t xml:space="preserve">End of</w:t>
      </w:r>
      <w:r>
        <w:t xml:space="preserve"> </w:t>
      </w:r>
      <w:r>
        <w:rPr>
          <w:bCs/>
          <w:b/>
        </w:rPr>
        <w:t xml:space="preserve">Lab Report</w:t>
      </w:r>
      <w:r>
        <w:t xml:space="preserve">.</w:t>
      </w:r>
      <w:r>
        <w:br/>
      </w:r>
    </w:p>
    <w:p>
      <w:pPr>
        <w:pStyle w:val="BodyText"/>
      </w:pPr>
      <w:r>
        <w:t xml:space="preserve">Generated for educational purposes.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en.wikipedia.org/wiki/Bangkok" TargetMode="External" /><Relationship Type="http://schemas.openxmlformats.org/officeDocument/2006/relationships/hyperlink" Id="rId30" Target="https://en.wikipedia.org/wiki/Petroleum_engineer" TargetMode="External" /><Relationship Type="http://schemas.openxmlformats.org/officeDocument/2006/relationships/hyperlink" Id="rId26" Target="https://en.wikipedia.org/wiki/Thailand" TargetMode="External" /></Relationships>
</file>

<file path=word/_rels/footnotes.xml.rels><?xml version="1.0" encoding="UTF-8"?><Relationships xmlns="http://schemas.openxmlformats.org/package/2006/relationships"><Relationship Type="http://schemas.openxmlformats.org/officeDocument/2006/relationships/hyperlink" Id="rId28" Target="https://en.wikipedia.org/wiki/Bangkok" TargetMode="External" /><Relationship Type="http://schemas.openxmlformats.org/officeDocument/2006/relationships/hyperlink" Id="rId30" Target="https://en.wikipedia.org/wiki/Petroleum_engineer" TargetMode="External" /><Relationship Type="http://schemas.openxmlformats.org/officeDocument/2006/relationships/hyperlink" Id="rId26" Target="https://en.wikipedia.org/wiki/Thailan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Operations in Thailand Bangkok</dc:title>
  <dc:creator/>
  <dc:language>en</dc:language>
  <cp:keywords/>
  <dcterms:created xsi:type="dcterms:W3CDTF">2026-07-29T09:56:42Z</dcterms:created>
  <dcterms:modified xsi:type="dcterms:W3CDTF">2026-07-29T09:56:42Z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