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Pharmaceutical</w:t>
      </w:r>
      <w:r>
        <w:t xml:space="preserve"> </w:t>
      </w:r>
      <w:r>
        <w:t xml:space="preserve">Practice</w:t>
      </w:r>
      <w:r>
        <w:t xml:space="preserve"> </w:t>
      </w:r>
      <w:r>
        <w:t xml:space="preserve">Standards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22" w:name="X8ee1847b8b8a683031e14f932650444998ee51e"/>
    <w:p>
      <w:pPr>
        <w:pStyle w:val="Heading1"/>
      </w:pPr>
      <w:r>
        <w:t xml:space="preserve">Laboratory and Operational Report: Pharmacist Practice in Australia Melbourne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Regulatory Compliance Officers, Health Department of Victoria</w:t>
      </w:r>
      <w:r>
        <w:br/>
      </w:r>
      <w:r>
        <w:br/>
      </w:r>
    </w:p>
    <w:p>
      <w:pPr>
        <w:pStyle w:val="BodyText"/>
      </w:pPr>
      <w:r>
        <w:t xml:space="preserve">.</w:t>
      </w:r>
      <w:r>
        <w:br/>
      </w:r>
    </w:p>
    <w:p>
      <w:pPr>
        <w:pStyle w:val="BodyText"/>
      </w:pPr>
      <w:r>
        <w:t xml:space="preserve">.</w:t>
      </w:r>
    </w:p>
    <w:bookmarkStart w:id="21" w:name="X1797dae86de0033edd55aced19de7938f65cdb6"/>
    <w:p>
      <w:pPr>
        <w:pStyle w:val="Heading1"/>
      </w:pPr>
      <w:r>
        <w:t xml:space="preserve">Laboratory and Operational Report: Pharmacist Practice in Australia Melbourne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Regulatory Compliance Officers, Department of Health and Human Services (Victoria)</w:t>
      </w:r>
      <w:r>
        <w:br/>
      </w:r>
    </w:p>
    <w:p>
      <w:pPr>
        <w:pStyle w:val="BodyText"/>
      </w:pPr>
      <w:r>
        <w:br/>
      </w:r>
    </w:p>
    <w:p>
      <w:pPr>
        <w:pStyle w:val="BodyText"/>
      </w:pPr>
      <w:r>
        <w:t xml:space="preserve">.</w:t>
      </w:r>
    </w:p>
    <w:bookmarkStart w:id="20" w:name="X402ef63d6a16323c579c741987a1db0f5d0a8ea"/>
    <w:p>
      <w:pPr>
        <w:pStyle w:val="Heading1"/>
      </w:pPr>
      <w:r>
        <w:t xml:space="preserve">Laboratory and Operational Report: Pharmacist Practice in Australia Melbourne</w:t>
      </w:r>
    </w:p>
    <w:p>
      <w:pPr>
        <w:pStyle w:val="FirstParagraph"/>
      </w:pPr>
      <w:r>
        <w:t xml:space="preserve">.</w:t>
      </w:r>
      <w:r>
        <w:br/>
      </w:r>
    </w:p>
    <w:p>
      <w:pPr>
        <w:pStyle w:val="BodyText"/>
      </w:pPr>
      <w:r>
        <w:t xml:space="preserve">.</w:t>
      </w:r>
      <w:r>
        <w:t xml:space="preserve"> </w:t>
      </w:r>
      <w:r>
        <w:t xml:space="preserve">.</w:t>
      </w:r>
      <w:r>
        <w:br/>
      </w:r>
    </w:p>
    <w:p>
      <w:pPr>
        <w:pStyle w:val="BodyText"/>
      </w:pPr>
      <w:r>
        <w:t xml:space="preserve">...</w:t>
      </w:r>
      <w:r>
        <w:br/>
      </w:r>
      <w:r>
        <w:t xml:space="preserve">...</w:t>
      </w:r>
    </w:p>
    <w:p>
      <w:pPr>
        <w:pStyle w:val="BodyText"/>
      </w:pPr>
      <w:r>
        <w:t xml:space="preserve">...</w:t>
      </w:r>
    </w:p>
    <w:p>
      <w:pPr>
        <w:pStyle w:val="BodyText"/>
      </w:pPr>
      <w:r>
        <w:t xml:space="preserve">.</w:t>
      </w:r>
    </w:p>
    <w:bookmarkEnd w:id="20"/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Pharmaceutical Practice Standards in Australia Melbourne</dc:title>
  <dc:creator/>
  <dc:language>en</dc:language>
  <cp:keywords/>
  <dcterms:created xsi:type="dcterms:W3CDTF">2026-09-26T00:22:39Z</dcterms:created>
  <dcterms:modified xsi:type="dcterms:W3CDTF">2026-09-26T00:22:39Z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