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Pharmaceutical</w:t>
      </w:r>
      <w:r>
        <w:t xml:space="preserve"> </w:t>
      </w:r>
      <w:r>
        <w:t xml:space="preserve">Practice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22" w:name="X8ee1847b8b8a683031e14f932650444998ee51e"/>
    <w:p>
      <w:pPr>
        <w:pStyle w:val="Heading1"/>
      </w:pPr>
      <w:r>
        <w:t xml:space="preserve">Laboratory and Operational Report: Pharmacist Practice in Australia Melbourne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Regulatory Compliance Officers, Health Department of Victoria</w:t>
      </w:r>
      <w:r>
        <w:br/>
      </w:r>
      <w:r>
        <w:br/>
      </w:r>
    </w:p>
    <w:p>
      <w:pPr>
        <w:pStyle w:val="BodyText"/>
      </w:pPr>
      <w:r>
        <w:t xml:space="preserve">.</w:t>
      </w:r>
      <w:r>
        <w:br/>
      </w:r>
    </w:p>
    <w:p>
      <w:pPr>
        <w:pStyle w:val="BodyText"/>
      </w:pPr>
      <w:r>
        <w:t xml:space="preserve">.</w:t>
      </w:r>
    </w:p>
    <w:bookmarkStart w:id="21" w:name="X1797dae86de0033edd55aced19de7938f65cdb6"/>
    <w:p>
      <w:pPr>
        <w:pStyle w:val="Heading1"/>
      </w:pPr>
      <w:r>
        <w:t xml:space="preserve">Laboratory and Operational Report: Pharmacist Practice in Australia Melbourne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Regulatory Compliance Officers, Department of Health and Human Services (Victoria)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.</w:t>
      </w:r>
    </w:p>
    <w:bookmarkStart w:id="20" w:name="X402ef63d6a16323c579c741987a1db0f5d0a8ea"/>
    <w:p>
      <w:pPr>
        <w:pStyle w:val="Heading1"/>
      </w:pPr>
      <w:r>
        <w:t xml:space="preserve">Laboratory and Operational Report: Pharmacist Practice in Australia Melbourne</w:t>
      </w:r>
    </w:p>
    <w:p>
      <w:pPr>
        <w:pStyle w:val="FirstParagraph"/>
      </w:pPr>
      <w:r>
        <w:t xml:space="preserve">.</w:t>
      </w:r>
      <w:r>
        <w:br/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.</w:t>
      </w:r>
      <w:r>
        <w:br/>
      </w:r>
    </w:p>
    <w:p>
      <w:pPr>
        <w:pStyle w:val="BodyText"/>
      </w:pPr>
      <w:r>
        <w:t xml:space="preserve">...</w:t>
      </w:r>
      <w:r>
        <w:br/>
      </w:r>
      <w:r>
        <w:t xml:space="preserve">...</w:t>
      </w:r>
    </w:p>
    <w:p>
      <w:pPr>
        <w:pStyle w:val="BodyText"/>
      </w:pPr>
      <w:r>
        <w:t xml:space="preserve">...</w:t>
      </w:r>
    </w:p>
    <w:p>
      <w:pPr>
        <w:pStyle w:val="BodyText"/>
      </w:pPr>
      <w:r>
        <w:t xml:space="preserve">.</w:t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Pharmaceutical Practice Standards in Australia Melbourne</dc:title>
  <dc:creator/>
  <dc:language>en</dc:language>
  <cp:keywords/>
  <dcterms:created xsi:type="dcterms:W3CDTF">2026-07-29T05:28:03Z</dcterms:created>
  <dcterms:modified xsi:type="dcterms:W3CDTF">2026-07-29T05:28:03Z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