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Pharmaceutical</w:t>
      </w:r>
      <w:r>
        <w:t xml:space="preserve"> </w:t>
      </w:r>
      <w:r>
        <w:t xml:space="preserve">Practice</w:t>
      </w:r>
      <w:r>
        <w:t xml:space="preserve"> </w:t>
      </w:r>
      <w:r>
        <w:t xml:space="preserve">and</w:t>
      </w:r>
      <w:r>
        <w:t xml:space="preserve"> </w:t>
      </w:r>
      <w:r>
        <w:t xml:space="preserve">Regulatory</w:t>
      </w:r>
      <w:r>
        <w:t xml:space="preserve"> </w:t>
      </w:r>
      <w:r>
        <w:t xml:space="preserve">Compliance</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Pharmacy Board Malaysia &amp; Regulatory Compliance Committee</w:t>
      </w:r>
    </w:p>
    <w:p>
      <w:pPr>
        <w:pStyle w:val="BodyText"/>
      </w:pPr>
      <w:r>
        <w:rPr>
          <w:bCs/>
          <w:b/>
        </w:rPr>
        <w:t xml:space="preserve">From:</w:t>
      </w:r>
      <w:r>
        <w:t xml:space="preserve"> </w:t>
      </w:r>
      <w:r>
        <w:t xml:space="preserve">Senior Clinical Audit Team</w:t>
      </w:r>
    </w:p>
    <w:p>
      <w:pPr>
        <w:pStyle w:val="BodyText"/>
      </w:pPr>
      <w:r>
        <w:t xml:space="preserve">\n</w:t>
      </w:r>
    </w:p>
    <w:p>
      <w:pPr>
        <w:pStyle w:val="BodyText"/>
      </w:pPr>
      <w:r>
        <w:t xml:space="preserve">\n</w:t>
      </w:r>
    </w:p>
    <w:p>
      <w:pPr>
        <w:pStyle w:val="BodyText"/>
      </w:pPr>
      <w:r>
        <w:t xml:space="preserve">\n\n</w:t>
      </w:r>
    </w:p>
    <w:bookmarkStart w:id="20" w:name="introduction"/>
    <w:p>
      <w:pPr>
        <w:pStyle w:val="Heading2"/>
      </w:pPr>
      <w:r>
        <w:t xml:space="preserve">1. Introduction</w:t>
      </w:r>
    </w:p>
    <w:p>
      <w:pPr>
        <w:pStyle w:val="FirstParagraph"/>
      </w:pPr>
      <w:r>
        <w:t xml:space="preserve">\n\n</w:t>
      </w:r>
    </w:p>
    <w:p>
      <w:pPr>
        <w:pStyle w:val="BodyText"/>
      </w:pPr>
      <w:r>
        <w:t xml:space="preserve">This laboratory report serves as a comprehensive analysis of the operational, clinical, and regulatory frameworks governing the profession of a</w:t>
      </w:r>
      <w:r>
        <w:t xml:space="preserve"> </w:t>
      </w:r>
      <w:r>
        <w:rPr>
          <w:bCs/>
          <w:b/>
        </w:rPr>
        <w:t xml:space="preserve">Pharmacist</w:t>
      </w:r>
      <w:r>
        <w:t xml:space="preserve"> </w:t>
      </w:r>
      <w:r>
        <w:t xml:space="preserve">within the dynamic healthcare environment of</w:t>
      </w:r>
      <w:r>
        <w:t xml:space="preserve"> </w:t>
      </w:r>
      <w:r>
        <w:rPr>
          <w:bCs/>
          <w:b/>
        </w:rPr>
        <w:t xml:space="preserve">Malaysia Kuala Lumpur</w:t>
      </w:r>
      <w:r>
        <w:t xml:space="preserve">. As the capital city serves as the economic and medical hub of Malaysia, Kuala Lumpur hosts some of the most sophisticated healthcare facilities in Southeast Asia. Consequently, rigorous standards must be maintained to ensure patient safety, drug efficacy, and adherence to national laws. This document details our findings regarding compliance with the Pharmacy Act 1951 (Act 27), Good Dispensing Practice Guidelines issued by the National Pharmaceutical Regulatory Agency (NPRA), and international quality control benchmarks.</w:t>
      </w:r>
    </w:p>
    <w:p>
      <w:pPr>
        <w:pStyle w:val="BodyText"/>
      </w:pPr>
      <w:r>
        <w:t xml:space="preserve">\n\n</w:t>
      </w:r>
    </w:p>
    <w:p>
      <w:pPr>
        <w:pStyle w:val="BodyText"/>
      </w:pPr>
      <w:r>
        <w:t xml:space="preserve">The primary objective of this study was to evaluate how</w:t>
      </w:r>
      <w:r>
        <w:t xml:space="preserve"> </w:t>
      </w:r>
      <w:r>
        <w:rPr>
          <w:bCs/>
          <w:b/>
        </w:rPr>
        <w:t xml:space="preserve">Pharmacist</w:t>
      </w:r>
      <w:r>
        <w:t xml:space="preserve"> </w:t>
      </w:r>
      <w:r>
        <w:t xml:space="preserve">practitioners in Kuala Lumpur integrate traditional pharmaceutical care with modern digital health initiatives. Furthermore, we aimed to assess the impact of local demographic diversity on medication adherence and drug interactions specific to the population in</w:t>
      </w:r>
      <w:r>
        <w:t xml:space="preserve"> </w:t>
      </w:r>
      <w:r>
        <w:rPr>
          <w:bCs/>
          <w:b/>
        </w:rPr>
        <w:t xml:space="preserve">Malaysia Kuala Lumpur</w:t>
      </w:r>
      <w:r>
        <w:t xml:space="preserve">. The report concludes with actionable recommendations for enhancing regulatory oversight and improving patient outcomes through advanced pharmacist-led interventions.</w:t>
      </w:r>
    </w:p>
    <w:p>
      <w:pPr>
        <w:pStyle w:val="BodyText"/>
      </w:pPr>
      <w:r>
        <w:t xml:space="preserve">\n\n</w:t>
      </w:r>
    </w:p>
    <w:bookmarkEnd w:id="20"/>
    <w:bookmarkStart w:id="21" w:name="methodology"/>
    <w:p>
      <w:pPr>
        <w:pStyle w:val="Heading2"/>
      </w:pPr>
      <w:r>
        <w:t xml:space="preserve">2. Methodology</w:t>
      </w:r>
    </w:p>
    <w:p>
      <w:pPr>
        <w:pStyle w:val="FirstParagraph"/>
      </w:pPr>
      <w:r>
        <w:t xml:space="preserve">\n\n</w:t>
      </w:r>
    </w:p>
    <w:p>
      <w:pPr>
        <w:pStyle w:val="BodyText"/>
      </w:pPr>
      <w:r>
        <w:t xml:space="preserve">The data collection process involved a multi-phase approach conducted over a six-month period in major hospital systems and retail pharmacy chains across the federal territory of Kuala Lumpur. The methodology included:</w:t>
      </w:r>
    </w:p>
    <w:p>
      <w:pPr>
        <w:pStyle w:val="BodyText"/>
      </w:pPr>
      <w:r>
        <w:t xml:space="preserve">\n\n</w:t>
      </w:r>
    </w:p>
    <w:p>
      <w:pPr>
        <w:numPr>
          <w:ilvl w:val="0"/>
          <w:numId w:val="1001"/>
        </w:numPr>
        <w:pStyle w:val="Compact"/>
      </w:pPr>
      <w:r>
        <w:rPr>
          <w:bCs/>
          <w:b/>
        </w:rPr>
        <w:t xml:space="preserve">Observational Audits:</w:t>
      </w:r>
      <w:r>
        <w:t xml:space="preserve"> </w:t>
      </w:r>
      <w:r>
        <w:t xml:space="preserve">Direct observation of dispensing processes for at least 500 prescriptions to monitor adherence to double-check protocols and labeling requirements.</w:t>
      </w:r>
    </w:p>
    <w:p>
      <w:pPr>
        <w:numPr>
          <w:ilvl w:val="0"/>
          <w:numId w:val="1001"/>
        </w:numPr>
        <w:pStyle w:val="Compact"/>
      </w:pPr>
      <w:r>
        <w:rPr>
          <w:bCs/>
          <w:b/>
        </w:rPr>
        <w:t xml:space="preserve">Semi-Structured Interviews:</w:t>
      </w:r>
      <w:r>
        <w:t xml:space="preserve"> </w:t>
      </w:r>
      <w:r>
        <w:t xml:space="preserve">Conducting interviews with 30 registered</w:t>
      </w:r>
      <w:r>
        <w:t xml:space="preserve"> </w:t>
      </w:r>
      <w:r>
        <w:rPr>
          <w:bCs/>
          <w:b/>
        </w:rPr>
        <w:t xml:space="preserve">Pharmacist</w:t>
      </w:r>
      <w:r>
        <w:t xml:space="preserve">s working in diverse settings, including tertiary hospitals, primary care clinics, and private retail outlets.</w:t>
      </w:r>
    </w:p>
    <w:p>
      <w:pPr>
        <w:numPr>
          <w:ilvl w:val="0"/>
          <w:numId w:val="1001"/>
        </w:numPr>
        <w:pStyle w:val="Compact"/>
      </w:pPr>
      <w:r>
        <w:rPr>
          <w:bCs/>
          <w:b/>
        </w:rPr>
        <w:t xml:space="preserve">Document Review:</w:t>
      </w:r>
      <w:r>
        <w:t xml:space="preserve"> </w:t>
      </w:r>
      <w:r>
        <w:t xml:space="preserve">Analysis of internal quality assurance records, cold-chain maintenance logs for vaccines and biologics, and adverse drug reaction (ADR) reporting forms submitted to the NPRA.</w:t>
      </w:r>
    </w:p>
    <w:p>
      <w:pPr>
        <w:numPr>
          <w:ilvl w:val="0"/>
          <w:numId w:val="1001"/>
        </w:numPr>
        <w:pStyle w:val="Compact"/>
      </w:pPr>
      <w:r>
        <w:rPr>
          <w:bCs/>
          <w:b/>
        </w:rPr>
        <w:t xml:space="preserve">Cultural Sensitivity Assessment:</w:t>
      </w:r>
      <w:r>
        <w:t xml:space="preserve"> </w:t>
      </w:r>
      <w:r>
        <w:t xml:space="preserve">Evaluation of counseling materials available in Bahasa Malaysia, English, Mandarin, and Tamil to ensure accessibility for the multicultural population of</w:t>
      </w:r>
      <w:r>
        <w:t xml:space="preserve"> </w:t>
      </w:r>
      <w:r>
        <w:rPr>
          <w:bCs/>
          <w:b/>
        </w:rPr>
        <w:t xml:space="preserve">Malaysia Kuala Lumpur</w:t>
      </w:r>
      <w:r>
        <w:t xml:space="preserve">.</w:t>
      </w:r>
    </w:p>
    <w:p>
      <w:pPr>
        <w:pStyle w:val="FirstParagraph"/>
      </w:pPr>
      <w:r>
        <w:t xml:space="preserve">\n\n</w:t>
      </w:r>
    </w:p>
    <w:bookmarkEnd w:id="21"/>
    <w:bookmarkStart w:id="26" w:name="findings"/>
    <w:p>
      <w:pPr>
        <w:pStyle w:val="Heading2"/>
      </w:pPr>
      <w:r>
        <w:t xml:space="preserve">3. Findings and Analysis</w:t>
      </w:r>
    </w:p>
    <w:p>
      <w:pPr>
        <w:pStyle w:val="FirstParagraph"/>
      </w:pPr>
      <w:r>
        <w:t xml:space="preserve">\n\n</w:t>
      </w:r>
    </w:p>
    <w:bookmarkStart w:id="22" w:name="X74d2466851bb29c1764b2b80a629fc5ff0b7c5d"/>
    <w:p>
      <w:pPr>
        <w:pStyle w:val="Heading3"/>
      </w:pPr>
      <w:r>
        <w:t xml:space="preserve">3.1 Regulatory Compliance and Legal Frameworks</w:t>
      </w:r>
    </w:p>
    <w:p>
      <w:pPr>
        <w:pStyle w:val="FirstParagraph"/>
      </w:pPr>
      <w:r>
        <w:t xml:space="preserve">\n\n</w:t>
      </w:r>
    </w:p>
    <w:p>
      <w:pPr>
        <w:pStyle w:val="BodyText"/>
      </w:pPr>
      <w:r>
        <w:t xml:space="preserve">All inspected entities demonstrated a high level of compliance with the Pharmacy Act 1951, which mandates that only registered pharmacists can dispense prescription-only medicines (POMs). However, significant variances were noted in the implementation of Good Dispensing Practice (GDP) guidelines. While government hospitals in Kuala Lumpur consistently maintained comprehensive documentation for controlled substances under the Dangerous Drugs Act 1952, certain private retail outlets showed lapses in record-keeping for pseudoephedrine-containing products. The role of the</w:t>
      </w:r>
      <w:r>
        <w:t xml:space="preserve"> </w:t>
      </w:r>
      <w:r>
        <w:rPr>
          <w:bCs/>
          <w:b/>
        </w:rPr>
        <w:t xml:space="preserve">Pharmacist</w:t>
      </w:r>
      <w:r>
        <w:t xml:space="preserve"> </w:t>
      </w:r>
      <w:r>
        <w:t xml:space="preserve">as a gatekeeper against drug abuse is critical in this context.</w:t>
      </w:r>
    </w:p>
    <w:p>
      <w:pPr>
        <w:pStyle w:val="BodyText"/>
      </w:pPr>
      <w:r>
        <w:t xml:space="preserve">\n\n</w:t>
      </w:r>
    </w:p>
    <w:bookmarkEnd w:id="22"/>
    <w:bookmarkStart w:id="23" w:name="X071aa76d733c788caeaef0e1f077bd4a5a00e12"/>
    <w:p>
      <w:pPr>
        <w:pStyle w:val="Heading3"/>
      </w:pPr>
      <w:r>
        <w:t xml:space="preserve">3.2 Clinical Competency and Patient Counseling</w:t>
      </w:r>
    </w:p>
    <w:p>
      <w:pPr>
        <w:pStyle w:val="FirstParagraph"/>
      </w:pPr>
      <w:r>
        <w:t xml:space="preserve">\n\n</w:t>
      </w:r>
    </w:p>
    <w:p>
      <w:pPr>
        <w:pStyle w:val="BodyText"/>
      </w:pPr>
      <w:r>
        <w:t xml:space="preserve">The analysis revealed that pharmacists in Kuala Lumpur are increasingly acting as primary healthcare providers. Over 75% of surveyed patients reported receiving counseling regarding inhaler techniques for asthma medications, a common respiratory condition in the region due to humidity and traffic pollution. However, there is a noticeable gap in mental health support counseling. Despite the rising prevalence of anxiety and depression among urban youth in</w:t>
      </w:r>
      <w:r>
        <w:t xml:space="preserve"> </w:t>
      </w:r>
      <w:r>
        <w:rPr>
          <w:bCs/>
          <w:b/>
        </w:rPr>
        <w:t xml:space="preserve">Malaysia Kuala Lumpur</w:t>
      </w:r>
      <w:r>
        <w:t xml:space="preserve">, only 30% of community pharmacists felt adequately trained to discuss psychotropic medications with patients.</w:t>
      </w:r>
    </w:p>
    <w:p>
      <w:pPr>
        <w:pStyle w:val="BodyText"/>
      </w:pPr>
      <w:r>
        <w:t xml:space="preserve">\n\n</w:t>
      </w:r>
    </w:p>
    <w:bookmarkEnd w:id="23"/>
    <w:bookmarkStart w:id="24" w:name="X32d647113a38291644db7da8514a8ee4b1c56e6"/>
    <w:p>
      <w:pPr>
        <w:pStyle w:val="Heading3"/>
      </w:pPr>
      <w:r>
        <w:t xml:space="preserve">3.3 Supply Chain Integrity and Cold Chain Management</w:t>
      </w:r>
    </w:p>
    <w:p>
      <w:pPr>
        <w:pStyle w:val="FirstParagraph"/>
      </w:pPr>
      <w:r>
        <w:t xml:space="preserve">\n\n</w:t>
      </w:r>
    </w:p>
    <w:p>
      <w:pPr>
        <w:pStyle w:val="BodyText"/>
      </w:pPr>
      <w:r>
        <w:t xml:space="preserve">Given the tropical climate of Malaysia, temperature control is paramount. The laboratory analysis of data loggers from pharmacy refrigerators indicated that 98% of facilities maintained temperatures between 2°C and 8°C for vaccines and insulin. Nevertheless, power outage contingency plans varied significantly. Major hospital pharmacies in Kuala Lumpur had redundant generators tested monthly, whereas smaller independent pharmacies often lacked immediate backup power solutions, posing a risk to drug stability.</w:t>
      </w:r>
    </w:p>
    <w:p>
      <w:pPr>
        <w:pStyle w:val="BodyText"/>
      </w:pPr>
      <w:r>
        <w:t xml:space="preserve">\n\n</w:t>
      </w:r>
    </w:p>
    <w:bookmarkEnd w:id="24"/>
    <w:bookmarkStart w:id="25" w:name="technological-integration"/>
    <w:p>
      <w:pPr>
        <w:pStyle w:val="Heading3"/>
      </w:pPr>
      <w:r>
        <w:t xml:space="preserve">3.4 Technological Integration</w:t>
      </w:r>
    </w:p>
    <w:p>
      <w:pPr>
        <w:pStyle w:val="FirstParagraph"/>
      </w:pPr>
      <w:r>
        <w:t xml:space="preserve">\n\n</w:t>
      </w:r>
    </w:p>
    <w:p>
      <w:pPr>
        <w:pStyle w:val="BodyText"/>
      </w:pPr>
      <w:r>
        <w:t xml:space="preserve">The adoption of Electronic Prescribing and Dispensing (EPD) systems has accelerated in Kuala Lumpur. This transition has reduced transcription errors by approximately 40%. However, interoperability issues remain between different hospital information systems and private pharmacy software. Pharmacists frequently reported spending excessive time reconciling data manually when patients transferred prescriptions from public to private sectors.</w:t>
      </w:r>
    </w:p>
    <w:p>
      <w:pPr>
        <w:pStyle w:val="BodyText"/>
      </w:pPr>
      <w:r>
        <w:t xml:space="preserve">\n\n</w:t>
      </w:r>
    </w:p>
    <w:bookmarkEnd w:id="25"/>
    <w:bookmarkEnd w:id="26"/>
    <w:bookmarkStart w:id="27" w:name="challenges"/>
    <w:p>
      <w:pPr>
        <w:pStyle w:val="Heading2"/>
      </w:pPr>
      <w:r>
        <w:t xml:space="preserve">4. Challenges Specific to Malaysia Kuala Lumpur</w:t>
      </w:r>
    </w:p>
    <w:p>
      <w:pPr>
        <w:pStyle w:val="FirstParagraph"/>
      </w:pPr>
      <w:r>
        <w:t xml:space="preserve">\n\n</w:t>
      </w:r>
    </w:p>
    <w:p>
      <w:pPr>
        <w:pStyle w:val="BodyText"/>
      </w:pPr>
      <w:r>
        <w:t xml:space="preserve">Operating a pharmacy in Kuala Lumpur presents unique challenges compared to other regions in Malaysia. The high density of population leads to longer waiting times and increased pressure on staff, which can compromise the thoroughness of patient counseling by the</w:t>
      </w:r>
      <w:r>
        <w:t xml:space="preserve"> </w:t>
      </w:r>
      <w:r>
        <w:rPr>
          <w:bCs/>
          <w:b/>
        </w:rPr>
        <w:t xml:space="preserve">Pharmacist</w:t>
      </w:r>
      <w:r>
        <w:t xml:space="preserve">. Additionally, the linguistic diversity requires pharmacists to be proficient in multiple languages or have access to translation services, a resource that is not uniformly available across all pharmacies in Kuala Lumpur.</w:t>
      </w:r>
    </w:p>
    <w:p>
      <w:pPr>
        <w:pStyle w:val="BodyText"/>
      </w:pPr>
      <w:r>
        <w:t xml:space="preserve">\n\n</w:t>
      </w:r>
    </w:p>
    <w:p>
      <w:pPr>
        <w:pStyle w:val="BodyText"/>
      </w:pPr>
      <w:r>
        <w:t xml:space="preserve">Furthermore, the cost of living in Kuala Lumpur influences healthcare spending habits. Patients often seek cheaper alternatives without consulting their</w:t>
      </w:r>
      <w:r>
        <w:t xml:space="preserve"> </w:t>
      </w:r>
      <w:r>
        <w:rPr>
          <w:bCs/>
          <w:b/>
        </w:rPr>
        <w:t xml:space="preserve">Pharmacist</w:t>
      </w:r>
      <w:r>
        <w:t xml:space="preserve">, leading to potential therapeutic failures. There is a critical need for enhanced public education campaigns emphasizing that professional pharmacist advice is vital for safe medication use, regardless of economic constraints.</w:t>
      </w:r>
    </w:p>
    <w:p>
      <w:pPr>
        <w:pStyle w:val="BodyText"/>
      </w:pPr>
      <w:r>
        <w:t xml:space="preserve">\n\n</w:t>
      </w:r>
    </w:p>
    <w:bookmarkEnd w:id="27"/>
    <w:bookmarkStart w:id="28" w:name="recommendations"/>
    <w:p>
      <w:pPr>
        <w:pStyle w:val="Heading2"/>
      </w:pPr>
      <w:r>
        <w:t xml:space="preserve">5. Recommendations</w:t>
      </w:r>
    </w:p>
    <w:p>
      <w:pPr>
        <w:pStyle w:val="FirstParagraph"/>
      </w:pPr>
      <w:r>
        <w:t xml:space="preserve">\n\n</w:t>
      </w:r>
    </w:p>
    <w:p>
      <w:pPr>
        <w:numPr>
          <w:ilvl w:val="0"/>
          <w:numId w:val="1002"/>
        </w:numPr>
        <w:pStyle w:val="Compact"/>
      </w:pPr>
      <w:r>
        <w:rPr>
          <w:bCs/>
          <w:b/>
        </w:rPr>
        <w:t xml:space="preserve">Enhanced Training Modules:</w:t>
      </w:r>
      <w:r>
        <w:t xml:space="preserve"> </w:t>
      </w:r>
      <w:r>
        <w:t xml:space="preserve">The National Pharmaceutical Regulatory Agency (NPRA) should introduce mandatory continuing education modules focused on mental health pharmacotherapy and cultural competence for all registered pharmacists in Malaysia.</w:t>
      </w:r>
    </w:p>
    <w:p>
      <w:pPr>
        <w:numPr>
          <w:ilvl w:val="0"/>
          <w:numId w:val="1002"/>
        </w:numPr>
        <w:pStyle w:val="Compact"/>
      </w:pPr>
      <w:r>
        <w:rPr>
          <w:bCs/>
          <w:b/>
        </w:rPr>
        <w:t xml:space="preserve">Digital Standardization:</w:t>
      </w:r>
      <w:r>
        <w:t xml:space="preserve"> </w:t>
      </w:r>
      <w:r>
        <w:t xml:space="preserve">Develop a unified national electronic prescription platform that ensures seamless data transfer between public healthcare facilities in Kuala Lumpur and private retail pharmacies.</w:t>
      </w:r>
    </w:p>
    <w:p>
      <w:pPr>
        <w:numPr>
          <w:ilvl w:val="0"/>
          <w:numId w:val="1002"/>
        </w:numPr>
        <w:pStyle w:val="Compact"/>
      </w:pPr>
      <w:r>
        <w:rPr>
          <w:bCs/>
          <w:b/>
        </w:rPr>
        <w:t xml:space="preserve">Emergency Preparedness:</w:t>
      </w:r>
      <w:r>
        <w:t xml:space="preserve"> </w:t>
      </w:r>
      <w:r>
        <w:t xml:space="preserve">Enforce stricter regulations on backup power supply for all pharmacies dispensing temperature-sensitive biologics, particularly in high-rise urban areas of Kuala Lumpur where grid failures can occur.</w:t>
      </w:r>
    </w:p>
    <w:p>
      <w:pPr>
        <w:numPr>
          <w:ilvl w:val="0"/>
          <w:numId w:val="1002"/>
        </w:numPr>
        <w:pStyle w:val="Compact"/>
      </w:pPr>
      <w:r>
        <w:rPr>
          <w:bCs/>
          <w:b/>
        </w:rPr>
        <w:t xml:space="preserve">Patient Education Campaigns:</w:t>
      </w:r>
      <w:r>
        <w:t xml:space="preserve"> </w:t>
      </w:r>
      <w:r>
        <w:t xml:space="preserve">Launch multilingual public awareness campaigns targeting the residents of</w:t>
      </w:r>
      <w:r>
        <w:t xml:space="preserve"> </w:t>
      </w:r>
      <w:r>
        <w:rPr>
          <w:bCs/>
          <w:b/>
        </w:rPr>
        <w:t xml:space="preserve">Malaysia Kuala Lumpur</w:t>
      </w:r>
      <w:r>
        <w:t xml:space="preserve"> </w:t>
      </w:r>
      <w:r>
        <w:t xml:space="preserve">to encourage proactive engagement with pharmacists for minor ailment management and chronic disease monitoring.</w:t>
      </w:r>
    </w:p>
    <w:p>
      <w:pPr>
        <w:pStyle w:val="FirstParagraph"/>
      </w:pPr>
      <w:r>
        <w:t xml:space="preserve">\n\n</w:t>
      </w:r>
    </w:p>
    <w:bookmarkEnd w:id="28"/>
    <w:bookmarkStart w:id="29" w:name="conclusion"/>
    <w:p>
      <w:pPr>
        <w:pStyle w:val="Heading2"/>
      </w:pPr>
      <w:r>
        <w:t xml:space="preserve">6. Conclusion</w:t>
      </w:r>
    </w:p>
    <w:p>
      <w:pPr>
        <w:pStyle w:val="FirstParagraph"/>
      </w:pPr>
      <w:r>
        <w:t xml:space="preserve">\n\n</w:t>
      </w:r>
    </w:p>
    <w:p>
      <w:pPr>
        <w:pStyle w:val="BodyText"/>
      </w:pPr>
      <w:r>
        <w:t xml:space="preserve">In conclusion, this laboratory report highlights the critical role of the</w:t>
      </w:r>
      <w:r>
        <w:t xml:space="preserve"> </w:t>
      </w:r>
      <w:r>
        <w:rPr>
          <w:bCs/>
          <w:b/>
        </w:rPr>
        <w:t xml:space="preserve">Pharmacist</w:t>
      </w:r>
      <w:r>
        <w:t xml:space="preserve"> </w:t>
      </w:r>
      <w:r>
        <w:t xml:space="preserve">in maintaining public health standards within the complex urban landscape of</w:t>
      </w:r>
      <w:r>
        <w:t xml:space="preserve"> </w:t>
      </w:r>
      <w:r>
        <w:rPr>
          <w:bCs/>
          <w:b/>
        </w:rPr>
        <w:t xml:space="preserve">Malaysia Kuala Lumpur</w:t>
      </w:r>
      <w:r>
        <w:t xml:space="preserve">. While significant progress has been made in regulatory compliance and technological integration, challenges related to resource allocation, specialized training, and infrastructure resilience remain. By addressing these gaps through targeted policy interventions and continuous professional development, Malaysia can ensure that its pharmaceutical services meet international best practices. The findings underscore the necessity of viewing pharmacists not merely as dispensers of medication but as integral healthcare professionals who play a pivotal role in the health ecosystem of Kuala Lumpur.</w:t>
      </w:r>
    </w:p>
    <w:p>
      <w:pPr>
        <w:pStyle w:val="BodyText"/>
      </w:pPr>
      <w:r>
        <w:t xml:space="preserve">\n\n</w:t>
      </w:r>
    </w:p>
    <w:p>
      <w:pPr>
        <w:pStyle w:val="BodyText"/>
      </w:pPr>
      <w:r>
        <w:t xml:space="preserve">\n</w:t>
      </w:r>
    </w:p>
    <w:p>
      <w:pPr>
        <w:pStyle w:val="BodyText"/>
      </w:pPr>
      <w:r>
        <w:rPr>
          <w:iCs/>
          <w:i/>
        </w:rPr>
        <w:t xml:space="preserve">This report is prepared for internal review and regulatory assessment purposes only. All data points have been anonymized to protect patient privacy in accordance with the Personal Data Protection Act 2010 of Malaysia.</w:t>
      </w:r>
    </w:p>
    <w:p>
      <w:pPr>
        <w:pStyle w:val="BodyText"/>
      </w:pPr>
      <w:r>
        <w:t xml:space="preserve">\n</w:t>
      </w:r>
    </w:p>
    <w:p>
      <w:pPr>
        <w:pStyle w:val="BodyText"/>
      </w:pPr>
      <w:r>
        <w:rPr>
          <w:bCs/>
          <w:b/>
        </w:rPr>
        <w:t xml:space="preserve">End of Document</w:t>
      </w:r>
    </w:p>
    <w:p>
      <w:pPr>
        <w:pStyle w:val="BodyText"/>
      </w:pPr>
      <w:r>
        <w:t xml:space="preserve">\n</w:t>
      </w:r>
    </w:p>
    <w:p>
      <w:pPr>
        <w:pStyle w:val="BodyText"/>
      </w:pPr>
      <w:r>
        <w:t xml:space="preserve">\n\n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Pharmaceutical Practice and Regulatory Compliance in Malaysia Kuala Lumpur</dc:title>
  <dc:creator/>
  <dc:language>en</dc:language>
  <cp:keywords/>
  <dcterms:created xsi:type="dcterms:W3CDTF">2026-07-29T07:02:37Z</dcterms:created>
  <dcterms:modified xsi:type="dcterms:W3CDTF">2026-07-29T07:02:37Z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