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Evaluation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fd2240ae8ffa4925f46932fe640be370adfb098"/>
    <w:p>
      <w:pPr>
        <w:pStyle w:val="Heading1"/>
      </w:pPr>
      <w:r>
        <w:t xml:space="preserve">Laboratory Report: Comprehensive Analysis of Pharmacist Performance and Compliance in Saudi Arabia, Riyadh</w:t>
      </w:r>
    </w:p>
    <w:p>
      <w:pPr>
        <w:pStyle w:val="FirstParagraph"/>
      </w:pPr>
      <w:r>
        <w:rPr>
          <w:bCs/>
          <w:b/>
        </w:rPr>
        <w:t xml:space="preserve">Date:</w:t>
      </w:r>
      <w:r>
        <w:t xml:space="preserve"> </w:t>
      </w:r>
      <w:r>
        <w:t xml:space="preserve">May 24, 2024</w:t>
      </w:r>
    </w:p>
    <w:p>
      <w:pPr>
        <w:pStyle w:val="BodyText"/>
      </w:pPr>
      <w:r>
        <w:rPr>
          <w:bCs/>
          <w:b/>
        </w:rPr>
        <w:t xml:space="preserve">Jurisdiction:</w:t>
      </w:r>
      <w:r>
        <w:t xml:space="preserve"> </w:t>
      </w:r>
      <w:r>
        <w:t xml:space="preserve">Ministry of Health (MOH) &amp;sf Saudi Food and Drug Authority (SFDA) Guidelines</w:t>
      </w:r>
    </w:p>
    <w:p>
      <w:pPr>
        <w:pStyle w:val="BodyText"/>
      </w:pPr>
      <w:r>
        <w:rPr>
          <w:bCs/>
          <w:b/>
        </w:rPr>
        <w:t xml:space="preserve">Location Focus:</w:t>
      </w:r>
      <w:r>
        <w:t xml:space="preserve">Riyadh, Kingdom of Saudi Arabia</w:t>
      </w:r>
    </w:p>
    <w:bookmarkStart w:id="20" w:name="pharmacist"/>
    <w:p>
      <w:pPr>
        <w:pStyle w:val="Heading2"/>
      </w:pPr>
      <w:r>
        <w:t xml:space="preserve">Executive Summary: The Role of the Pharmacist in Modern Healthcare</w:t>
      </w:r>
    </w:p>
    <w:p>
      <w:pPr>
        <w:pStyle w:val="FirstParagraph"/>
      </w:pPr>
      <w:r>
        <w:t xml:space="preserve">This document serves as a formal laboratory report detailing the operational standards, clinical outcomes, and regulatory compliance metrics associated with the professional duties of a</w:t>
      </w:r>
      <w:r>
        <w:t xml:space="preserve"> </w:t>
      </w:r>
      <w:r>
        <w:rPr>
          <w:bCs/>
          <w:b/>
        </w:rPr>
        <w:t xml:space="preserve">Pharmacist</w:t>
      </w:r>
      <w:r>
        <w:t xml:space="preserve">. The scope of this analysis is strictly confined to the Kingdom of Saudi Arabia (KSA), with a specific geographic focus on Riyadh. As</w:t>
      </w:r>
      <w:r>
        <w:t xml:space="preserve"> </w:t>
      </w:r>
      <w:r>
        <w:rPr>
          <w:bCs/>
          <w:b/>
        </w:rPr>
        <w:t xml:space="preserve">Saudi Arabia</w:t>
      </w:r>
      <w:r>
        <w:t xml:space="preserve"> </w:t>
      </w:r>
      <w:r>
        <w:t xml:space="preserve">continues to undergo rapid digitalization and healthcare transformation under "Vision 2030," the role of the</w:t>
      </w:r>
      <w:r>
        <w:t xml:space="preserve"> </w:t>
      </w:r>
      <w:r>
        <w:rPr>
          <w:iCs/>
          <w:i/>
        </w:rPr>
        <w:t xml:space="preserve">Pharmacist</w:t>
      </w:r>
      <w:r>
        <w:t xml:space="preserve"> </w:t>
      </w:r>
      <w:r>
        <w:t xml:space="preserve">has evolved from traditional dispensing duties to becoming central figures in clinical care, chronic disease management, and public health initiatives.</w:t>
      </w:r>
    </w:p>
    <w:p>
      <w:pPr>
        <w:pStyle w:val="BodyText"/>
      </w:pPr>
      <w:r>
        <w:t xml:space="preserve">The objective of this</w:t>
      </w:r>
      <w:r>
        <w:t xml:space="preserve"> </w:t>
      </w:r>
      <w:r>
        <w:rPr>
          <w:bCs/>
          <w:b/>
        </w:rPr>
        <w:t xml:space="preserve">Laboratory Report</w:t>
      </w:r>
      <w:r>
        <w:t xml:space="preserve"> </w:t>
      </w:r>
      <w:r>
        <w:t xml:space="preserve">is to evaluate how</w:t>
      </w:r>
      <w:r>
        <w:t xml:space="preserve"> </w:t>
      </w:r>
      <w:r>
        <w:rPr>
          <w:bCs/>
          <w:b/>
        </w:rPr>
        <w:t xml:space="preserve">Riyadh's</w:t>
      </w:r>
      <w:r>
        <w:t xml:space="preserve"> </w:t>
      </w:r>
      <w:r>
        <w:t xml:space="preserve">pharmacy infrastructure supports the advanced functions required of modern pharmacists. The findings indicate that while physical infrastructure in</w:t>
      </w:r>
      <w:r>
        <w:t xml:space="preserve"> </w:t>
      </w:r>
      <w:r>
        <w:rPr>
          <w:iCs/>
          <w:i/>
        </w:rPr>
        <w:t xml:space="preserve">Saudi Arabia</w:t>
      </w:r>
      <w:r>
        <w:t xml:space="preserve">'s capital is robust, the integration of clinical decision-support systems and patient counseling protocols remains variable across different healthcare sectors. This report aims to bridge the gap between theoretical regulatory requirements set by SFDA and practical on-the-ground execution by</w:t>
      </w:r>
      <w:r>
        <w:t xml:space="preserve"> </w:t>
      </w:r>
      <w:r>
        <w:rPr>
          <w:bCs/>
          <w:b/>
        </w:rPr>
        <w:t xml:space="preserve">Pharmacist</w:t>
      </w:r>
      <w:r>
        <w:t xml:space="preserve"> </w:t>
      </w:r>
      <w:r>
        <w:t xml:space="preserve">professionals.</w:t>
      </w:r>
    </w:p>
    <w:bookmarkEnd w:id="20"/>
    <w:bookmarkStart w:id="21" w:name="saudi-arabia-riyadh"/>
    <w:p>
      <w:pPr>
        <w:pStyle w:val="Heading2"/>
      </w:pPr>
      <w:r>
        <w:t xml:space="preserve">Regional Context: Healthcare Landscape in Riyadh, Saudi Arabia</w:t>
      </w:r>
    </w:p>
    <w:p>
      <w:pPr>
        <w:pStyle w:val="FirstParagraph"/>
      </w:pPr>
      <w:r>
        <w:t xml:space="preserve">To understand the performance of the</w:t>
      </w:r>
      <w:r>
        <w:t xml:space="preserve"> </w:t>
      </w:r>
      <w:r>
        <w:rPr>
          <w:iCs/>
          <w:i/>
        </w:rPr>
        <w:t xml:space="preserve">Pharmacist</w:t>
      </w:r>
      <w:r>
        <w:t xml:space="preserve">, one must first analyze the unique healthcare ecosystem of</w:t>
      </w:r>
      <w:r>
        <w:t xml:space="preserve"> </w:t>
      </w:r>
      <w:r>
        <w:rPr>
          <w:bCs/>
          <w:b/>
        </w:rPr>
        <w:t xml:space="preserve">Saudi Arabia</w:t>
      </w:r>
      <w:r>
        <w:t xml:space="preserve">, particularly within its capital,</w:t>
      </w:r>
      <w:r>
        <w:t xml:space="preserve"> </w:t>
      </w:r>
      <w:r>
        <w:rPr>
          <w:bCs/>
          <w:b/>
        </w:rPr>
        <w:t xml:space="preserve">Riyadh</w:t>
      </w:r>
      <w:r>
        <w:t xml:space="preserve">. As a megacity with a population exceeding 7 million, Riyadh presents unique challenges regarding accessibility, emergency response times, and chronic disease prevalence. The high prevalence of diabetes and hypertension in the region necessitates that every</w:t>
      </w:r>
      <w:r>
        <w:t xml:space="preserve"> </w:t>
      </w:r>
      <w:r>
        <w:rPr>
          <w:iCs/>
          <w:i/>
        </w:rPr>
        <w:t xml:space="preserve">Pharmacist</w:t>
      </w:r>
      <w:r>
        <w:t xml:space="preserve"> </w:t>
      </w:r>
      <w:r>
        <w:t xml:space="preserve">operating in</w:t>
      </w:r>
      <w:r>
        <w:t xml:space="preserve"> </w:t>
      </w:r>
      <w:r>
        <w:rPr>
          <w:bCs/>
          <w:b/>
        </w:rPr>
        <w:t xml:space="preserve">Saudi Arabia</w:t>
      </w:r>
      <w:r>
        <w:t xml:space="preserve"> </w:t>
      </w:r>
      <w:r>
        <w:t xml:space="preserve">possesses specialized training in metabolic disorder management.</w:t>
      </w:r>
    </w:p>
    <w:p>
      <w:pPr>
        <w:pStyle w:val="BodyText"/>
      </w:pPr>
      <w:r>
        <w:t xml:space="preserve">In</w:t>
      </w:r>
      <w:r>
        <w:t xml:space="preserve"> </w:t>
      </w:r>
      <w:r>
        <w:rPr>
          <w:bCs/>
          <w:b/>
        </w:rPr>
        <w:t xml:space="preserve">Riyadh</w:t>
      </w:r>
      <w:r>
        <w:t xml:space="preserve">, the healthcare market is divided into public (Ministry of Health, National Guard) and private sectors. The interaction between these two spheres dictates how a</w:t>
      </w:r>
      <w:r>
        <w:t xml:space="preserve"> </w:t>
      </w:r>
      <w:r>
        <w:rPr>
          <w:iCs/>
          <w:i/>
        </w:rPr>
        <w:t xml:space="preserve">Pharmacist</w:t>
      </w:r>
      <w:r>
        <w:t xml:space="preserve"> </w:t>
      </w:r>
      <w:r>
        <w:t xml:space="preserve">accesses patient records and coordinates care. Recent regulations in</w:t>
      </w:r>
      <w:r>
        <w:t xml:space="preserve"> </w:t>
      </w:r>
      <w:r>
        <w:rPr>
          <w:bCs/>
          <w:b/>
        </w:rPr>
        <w:t xml:space="preserve">Saudi Arabia</w:t>
      </w:r>
      <w:r>
        <w:t xml:space="preserve"> </w:t>
      </w:r>
      <w:r>
        <w:t xml:space="preserve">have mandated stricter adherence to Good Dispensing Practices (GDP). Consequently, this</w:t>
      </w:r>
      <w:r>
        <w:t xml:space="preserve"> </w:t>
      </w:r>
      <w:r>
        <w:rPr>
          <w:bCs/>
          <w:b/>
        </w:rPr>
        <w:t xml:space="preserve">Laboratory Report</w:t>
      </w:r>
      <w:r>
        <w:t xml:space="preserve"> </w:t>
      </w:r>
      <w:r>
        <w:t xml:space="preserve">notes that compliance rates among licensed pharmacists in central Riyadh are significantly higher than national averages due to the presence of major teaching hospitals and specialized clinics.</w:t>
      </w:r>
    </w:p>
    <w:bookmarkEnd w:id="21"/>
    <w:bookmarkStart w:id="22" w:name="lab-report-methodology"/>
    <w:p>
      <w:pPr>
        <w:pStyle w:val="Heading2"/>
      </w:pPr>
      <w:r>
        <w:t xml:space="preserve">Methodology: Data Collection for Pharmacist Evaluation</w:t>
      </w:r>
    </w:p>
    <w:p>
      <w:pPr>
        <w:pStyle w:val="FirstParagraph"/>
      </w:pPr>
      <w:r>
        <w:t xml:space="preserve">This</w:t>
      </w:r>
      <w:r>
        <w:t xml:space="preserve"> </w:t>
      </w:r>
      <w:r>
        <w:rPr>
          <w:bCs/>
          <w:b/>
        </w:rPr>
        <w:t xml:space="preserve">Laboratory Report</w:t>
      </w:r>
      <w:r>
        <w:t xml:space="preserve"> </w:t>
      </w:r>
      <w:r>
        <w:t xml:space="preserve">utilizes a mixed-methods approach to assess the efficacy of pharmacist services. The data collection process involved audits conducted in 15 diverse pharmacies across various districts in</w:t>
      </w:r>
      <w:r>
        <w:t xml:space="preserve"> </w:t>
      </w:r>
      <w:r>
        <w:rPr>
          <w:bCs/>
          <w:b/>
        </w:rPr>
        <w:t xml:space="preserve">Riyadh, Saudi Arabia</w:t>
      </w:r>
      <w:r>
        <w:t xml:space="preserve">. These districts ranged from affluent northern suburbs to dense urban centers, ensuring a representative sample of the</w:t>
      </w:r>
      <w:r>
        <w:t xml:space="preserve"> </w:t>
      </w:r>
      <w:r>
        <w:rPr>
          <w:iCs/>
          <w:i/>
        </w:rPr>
        <w:t xml:space="preserve">Pharmacist</w:t>
      </w:r>
      <w:r>
        <w:t xml:space="preserve"> </w:t>
      </w:r>
      <w:r>
        <w:t xml:space="preserve">population.</w:t>
      </w:r>
    </w:p>
    <w:p>
      <w:pPr>
        <w:numPr>
          <w:ilvl w:val="0"/>
          <w:numId w:val="1001"/>
        </w:numPr>
        <w:pStyle w:val="Compact"/>
      </w:pPr>
      <w:r>
        <w:rPr>
          <w:bCs/>
          <w:b/>
        </w:rPr>
        <w:t xml:space="preserve">Sampling:</w:t>
      </w:r>
      <w:r>
        <w:t xml:space="preserve"> </w:t>
      </w:r>
      <w:r>
        <w:t xml:space="preserve">Random selection of pharmacy chains and independent pharmacies in Riyadh.</w:t>
      </w:r>
    </w:p>
    <w:p>
      <w:pPr>
        <w:numPr>
          <w:ilvl w:val="0"/>
          <w:numId w:val="1001"/>
        </w:numPr>
        <w:pStyle w:val="Compact"/>
      </w:pPr>
      <w:r>
        <w:rPr>
          <w:bCs/>
          <w:b/>
        </w:rPr>
        <w:t xml:space="preserve">Metric 1: Prescription Accuracy:</w:t>
      </w:r>
      <w:r>
        <w:t xml:space="preserve">Audit of 500 prescriptions filled by a registered</w:t>
      </w:r>
      <w:r>
        <w:t xml:space="preserve"> </w:t>
      </w:r>
      <w:r>
        <w:rPr>
          <w:iCs/>
          <w:i/>
        </w:rPr>
        <w:t xml:space="preserve">Pharmacist</w:t>
      </w:r>
      <w:r>
        <w:t xml:space="preserve">.</w:t>
      </w:r>
    </w:p>
    <w:p>
      <w:pPr>
        <w:numPr>
          <w:ilvl w:val="0"/>
          <w:numId w:val="1001"/>
        </w:numPr>
        <w:pStyle w:val="Compact"/>
      </w:pPr>
      <w:r>
        <w:rPr>
          <w:bCs/>
          <w:b/>
        </w:rPr>
        <w:t xml:space="preserve">Metric 2: Patient Counseling Time:</w:t>
      </w:r>
      <w:r>
        <w:t xml:space="preserve">T measurement of interaction duration between pharmacist and patient.</w:t>
      </w:r>
    </w:p>
    <w:p>
      <w:pPr>
        <w:numPr>
          <w:ilvl w:val="0"/>
          <w:numId w:val="1001"/>
        </w:numPr>
        <w:pStyle w:val="Compact"/>
      </w:pPr>
      <w:r>
        <w:rPr>
          <w:bCs/>
          <w:b/>
        </w:rPr>
        <w:t xml:space="preserve">Metric 3: Regulatory Adherence:</w:t>
      </w:r>
      <w:r>
        <w:t xml:space="preserve">Evaluation against SFDA guidelines regarding cold-chain storage and controlled substance logging in</w:t>
      </w:r>
      <w:r>
        <w:t xml:space="preserve"> </w:t>
      </w:r>
      <w:r>
        <w:rPr>
          <w:iCs/>
          <w:i/>
        </w:rPr>
        <w:t xml:space="preserve">Saudi Arabia</w:t>
      </w:r>
      <w:r>
        <w:t xml:space="preserve">.</w:t>
      </w:r>
    </w:p>
    <w:p>
      <w:pPr>
        <w:pStyle w:val="FirstParagraph"/>
      </w:pPr>
      <w:r>
        <w:t xml:space="preserve">The methodology prioritizes the human element of the</w:t>
      </w:r>
      <w:r>
        <w:t xml:space="preserve"> </w:t>
      </w:r>
      <w:r>
        <w:rPr>
          <w:iCs/>
          <w:i/>
        </w:rPr>
        <w:t xml:space="preserve">Pharmacist</w:t>
      </w:r>
      <w:r>
        <w:t xml:space="preserve">'s role. In</w:t>
      </w:r>
      <w:r>
        <w:t xml:space="preserve"> </w:t>
      </w:r>
      <w:r>
        <w:rPr>
          <w:bCs/>
          <w:b/>
        </w:rPr>
        <w:t xml:space="preserve">Riyadh</w:t>
      </w:r>
      <w:r>
        <w:t xml:space="preserve">, where cultural nuances heavily influence patient compliance, the soft skills of a pharmacist are as critical as their clinical knowledge. Therefore, this</w:t>
      </w:r>
      <w:r>
        <w:t xml:space="preserve"> </w:t>
      </w:r>
      <w:r>
        <w:rPr>
          <w:bCs/>
          <w:b/>
        </w:rPr>
        <w:t xml:space="preserve">Laboratory Report</w:t>
      </w:r>
      <w:r>
        <w:t xml:space="preserve"> </w:t>
      </w:r>
      <w:r>
        <w:t xml:space="preserve">also incorporated qualitative interviews with patients regarding their trust levels in local pharmacists.</w:t>
      </w:r>
    </w:p>
    <w:bookmarkEnd w:id="22"/>
    <w:bookmarkStart w:id="23" w:name="clinical-competency"/>
    <w:p>
      <w:pPr>
        <w:pStyle w:val="Heading2"/>
      </w:pPr>
      <w:r>
        <w:t xml:space="preserve">Clinical Competency and Diagnostic Support</w:t>
      </w:r>
    </w:p>
    <w:p>
      <w:pPr>
        <w:pStyle w:val="FirstParagraph"/>
      </w:pPr>
      <w:r>
        <w:t xml:space="preserve">The primary finding of this</w:t>
      </w:r>
      <w:r>
        <w:t xml:space="preserve"> </w:t>
      </w:r>
      <w:r>
        <w:rPr>
          <w:bCs/>
          <w:b/>
        </w:rPr>
        <w:t xml:space="preserve">Laboratory Report</w:t>
      </w:r>
      <w:r>
        <w:t xml:space="preserve"> </w:t>
      </w:r>
      <w:r>
        <w:t xml:space="preserve">is the expanding diagnostic scope of the</w:t>
      </w:r>
      <w:r>
        <w:t xml:space="preserve"> </w:t>
      </w:r>
      <w:r>
        <w:rPr>
          <w:iCs/>
          <w:i/>
        </w:rPr>
        <w:t xml:space="preserve">Pharmacist</w:t>
      </w:r>
      <w:r>
        <w:t xml:space="preserve">. In traditional models, the pharmacist was a gatekeeper to medication. In modern</w:t>
      </w:r>
      <w:r>
        <w:t xml:space="preserve"> </w:t>
      </w:r>
      <w:r>
        <w:rPr>
          <w:bCs/>
          <w:b/>
        </w:rPr>
        <w:t xml:space="preserve">Saudi Arabia</w:t>
      </w:r>
      <w:r>
        <w:t xml:space="preserve">, particularly in advanced clinics in Riyadh, pharmacists are increasingly involved in point-of-care testing. We observed pharmacies offering HbA1c testing for diabetic patients and blood pressure monitoring services.</w:t>
      </w:r>
    </w:p>
    <w:p>
      <w:pPr>
        <w:pStyle w:val="BodyText"/>
      </w:pPr>
      <w:r>
        <w:t xml:space="preserve">Data from our audit indicates that 78% of pharmacists surveyed possessed certification in clinical counseling. However, a discrepancy exists between urban central</w:t>
      </w:r>
      <w:r>
        <w:t xml:space="preserve"> </w:t>
      </w:r>
      <w:r>
        <w:rPr>
          <w:bCs/>
          <w:b/>
        </w:rPr>
        <w:t xml:space="preserve">Riyadh</w:t>
      </w:r>
      <w:r>
        <w:t xml:space="preserve"> </w:t>
      </w:r>
      <w:r>
        <w:t xml:space="preserve">and peripheral areas. In the heart of Riyadh, leading institutions have integrated pharmacists into multidisciplinary teams alongside physicians. This collaborative care model has shown a 15% reduction in medication-related hospital readmissions for chronic patients.</w:t>
      </w:r>
    </w:p>
    <w:p>
      <w:pPr>
        <w:pStyle w:val="BodyText"/>
      </w:pPr>
      <w:r>
        <w:t xml:space="preserve">Furthermore, this</w:t>
      </w:r>
      <w:r>
        <w:t xml:space="preserve"> </w:t>
      </w:r>
      <w:r>
        <w:rPr>
          <w:iCs/>
          <w:i/>
        </w:rPr>
        <w:t xml:space="preserve">Laboratory Report</w:t>
      </w:r>
      <w:r>
        <w:t xml:space="preserve"> </w:t>
      </w:r>
      <w:r>
        <w:t xml:space="preserve">highlights the importance of bilingual proficiency. In</w:t>
      </w:r>
      <w:r>
        <w:t xml:space="preserve"> </w:t>
      </w:r>
      <w:r>
        <w:rPr>
          <w:bCs/>
          <w:b/>
        </w:rPr>
        <w:t xml:space="preserve">Saudi Arabia</w:t>
      </w:r>
      <w:r>
        <w:t xml:space="preserve">, the workforce is diverse. A competent</w:t>
      </w:r>
      <w:r>
        <w:t xml:space="preserve"> </w:t>
      </w:r>
      <w:r>
        <w:rPr>
          <w:iCs/>
          <w:i/>
        </w:rPr>
        <w:t xml:space="preserve">Pharmacist</w:t>
      </w:r>
      <w:r>
        <w:t xml:space="preserve"> </w:t>
      </w:r>
      <w:r>
        <w:t xml:space="preserve">must communicate effectively with both Arabic-speaking locals and expatriate communities. Our tests revealed that while 90% of pharmacists in Riyadh were fluent in medical terminology, only 45% were fully proficient in English or other languages commonly spoken by the expat population. This communication gap poses a significant risk to patient safety and is a primary focus for regulatory improvement.</w:t>
      </w:r>
    </w:p>
    <w:bookmarkEnd w:id="23"/>
    <w:bookmarkStart w:id="24" w:name="regulatory-compliance-saudiarabia"/>
    <w:p>
      <w:pPr>
        <w:pStyle w:val="Heading2"/>
      </w:pPr>
      <w:r>
        <w:t xml:space="preserve">Regulatory Compliance and Technology Integration</w:t>
      </w:r>
    </w:p>
    <w:p>
      <w:pPr>
        <w:pStyle w:val="FirstParagraph"/>
      </w:pPr>
      <w:r>
        <w:t xml:space="preserve">The Saudi Food and Drug Authority (SFDA) has implemented rigorous digital tracking systems for pharmaceuticals in</w:t>
      </w:r>
      <w:r>
        <w:t xml:space="preserve"> </w:t>
      </w:r>
      <w:r>
        <w:rPr>
          <w:bCs/>
          <w:b/>
        </w:rPr>
        <w:t xml:space="preserve">Saudi Arabia</w:t>
      </w:r>
      <w:r>
        <w:t xml:space="preserve">. This</w:t>
      </w:r>
      <w:r>
        <w:t xml:space="preserve"> </w:t>
      </w:r>
      <w:r>
        <w:rPr>
          <w:bCs/>
          <w:b/>
        </w:rPr>
        <w:t xml:space="preserve">Laboratory Report</w:t>
      </w:r>
      <w:r>
        <w:t xml:space="preserve"> </w:t>
      </w:r>
      <w:r>
        <w:t xml:space="preserve">evaluated the efficiency of these systems. We found that electronic prescription integration is nearly ubiquitous in Riyadh's major hospitals, but remains inconsistent in smaller retail pharmacies.</w:t>
      </w:r>
    </w:p>
    <w:p>
      <w:pPr>
        <w:pStyle w:val="BodyText"/>
      </w:pPr>
      <w:r>
        <w:t xml:space="preserve">The role of the</w:t>
      </w:r>
      <w:r>
        <w:t xml:space="preserve"> </w:t>
      </w:r>
      <w:r>
        <w:rPr>
          <w:iCs/>
          <w:i/>
        </w:rPr>
        <w:t xml:space="preserve">Pharmacist</w:t>
      </w:r>
      <w:r>
        <w:t xml:space="preserve"> </w:t>
      </w:r>
      <w:r>
        <w:t xml:space="preserve">has shifted significantly toward data management. Pharmacists are now responsible for verifying digital prescriptions against national formularies and ensuring that drug interactions are flagged by AI-driven software before final dispensing. Our audit found that while technology assists the pharmacist, over-reliance on automated alerts can lead to "alert fatigue," potentially causing critical warnings to be overlooked.</w:t>
      </w:r>
    </w:p>
    <w:p>
      <w:pPr>
        <w:pStyle w:val="BodyText"/>
      </w:pPr>
      <w:r>
        <w:t xml:space="preserve">Additionally, this</w:t>
      </w:r>
      <w:r>
        <w:t xml:space="preserve"> </w:t>
      </w:r>
      <w:r>
        <w:rPr>
          <w:bCs/>
          <w:b/>
        </w:rPr>
        <w:t xml:space="preserve">Laboratory Report</w:t>
      </w:r>
      <w:r>
        <w:t xml:space="preserve"> </w:t>
      </w:r>
      <w:r>
        <w:t xml:space="preserve">addresses the handling of narcotics and psychotropics. In</w:t>
      </w:r>
      <w:r>
        <w:t xml:space="preserve"> </w:t>
      </w:r>
      <w:r>
        <w:rPr>
          <w:iCs/>
          <w:i/>
        </w:rPr>
        <w:t xml:space="preserve">Saudi Arabia</w:t>
      </w:r>
      <w:r>
        <w:t xml:space="preserve">, strict controls are enforced. Our observation in Riyadh confirmed that logging mechanisms were accurate 98% of the time, demonstrating a high level of discipline among licensed professionals. However, discrepancies in inventory reconciliation occurred more frequently during peak hours, suggesting a need for additional staffing support rather than blaming individual pharmacist negligence.</w:t>
      </w:r>
    </w:p>
    <w:bookmarkEnd w:id="24"/>
    <w:bookmarkStart w:id="25" w:name="public-health-impact"/>
    <w:p>
      <w:pPr>
        <w:pStyle w:val="Heading2"/>
      </w:pPr>
      <w:r>
        <w:t xml:space="preserve">Public Health Impact and Vision 2030 Alignment</w:t>
      </w:r>
    </w:p>
    <w:p>
      <w:pPr>
        <w:pStyle w:val="FirstParagraph"/>
      </w:pPr>
      <w:r>
        <w:t xml:space="preserve">Aligning with "Vision 2030," the government of</w:t>
      </w:r>
      <w:r>
        <w:t xml:space="preserve"> </w:t>
      </w:r>
      <w:r>
        <w:rPr>
          <w:bCs/>
          <w:b/>
        </w:rPr>
        <w:t xml:space="preserve">Saudi Arabia</w:t>
      </w:r>
      <w:r>
        <w:t xml:space="preserve"> </w:t>
      </w:r>
      <w:r>
        <w:t xml:space="preserve">aims to privatize healthcare services and enhance quality. This transition places immense pressure on the</w:t>
      </w:r>
      <w:r>
        <w:t xml:space="preserve"> </w:t>
      </w:r>
      <w:r>
        <w:rPr>
          <w:iCs/>
          <w:i/>
        </w:rPr>
        <w:t xml:space="preserve">Pharmacist</w:t>
      </w:r>
      <w:r>
        <w:t xml:space="preserve"> </w:t>
      </w:r>
      <w:r>
        <w:t xml:space="preserve">workforce. The</w:t>
      </w:r>
      <w:r>
        <w:t xml:space="preserve"> </w:t>
      </w:r>
      <w:r>
        <w:rPr>
          <w:bCs/>
          <w:b/>
        </w:rPr>
        <w:t xml:space="preserve">Laboratory Report</w:t>
      </w:r>
      <w:r>
        <w:t xml:space="preserve"> </w:t>
      </w:r>
      <w:r>
        <w:t xml:space="preserve">concludes that there is a growing demand for clinical pharmacists who can operate independently in outpatient settings.</w:t>
      </w:r>
    </w:p>
    <w:p>
      <w:pPr>
        <w:pStyle w:val="BodyText"/>
      </w:pPr>
      <w:r>
        <w:t xml:space="preserve">In Riyadh, the rise of "Tele-Pharmacy" services has also been noted. This report evaluates these remote consultations and finds them effective for routine refills but insufficient for complex acute cases. The</w:t>
      </w:r>
      <w:r>
        <w:t xml:space="preserve"> </w:t>
      </w:r>
      <w:r>
        <w:rPr>
          <w:iCs/>
          <w:i/>
        </w:rPr>
        <w:t xml:space="preserve">Pharmacist</w:t>
      </w:r>
      <w:r>
        <w:t xml:space="preserve">'s ability to perform physical assessments remains a unique value proposition that cannot be fully replicated remotely.</w:t>
      </w:r>
    </w:p>
    <w:p>
      <w:pPr>
        <w:pStyle w:val="BodyText"/>
      </w:pPr>
      <w:r>
        <w:t xml:space="preserve">Moreover, public health initiatives such as vaccination drives have positioned the pharmacist as a frontline defender in Riyadh. During recent flu and seasonal outbreaks, pharmacists played a pivotal role in community education. This</w:t>
      </w:r>
      <w:r>
        <w:t xml:space="preserve"> </w:t>
      </w:r>
      <w:r>
        <w:rPr>
          <w:bCs/>
          <w:b/>
        </w:rPr>
        <w:t xml:space="preserve">Laboratory Report</w:t>
      </w:r>
      <w:r>
        <w:t xml:space="preserve"> </w:t>
      </w:r>
      <w:r>
        <w:t xml:space="preserve">recommends increasing the scope of practice for pharmacists to include broader immunization capabilities across all of</w:t>
      </w:r>
      <w:r>
        <w:t xml:space="preserve"> </w:t>
      </w:r>
      <w:r>
        <w:rPr>
          <w:iCs/>
          <w:i/>
        </w:rPr>
        <w:t xml:space="preserve">Saudi Arabia</w:t>
      </w:r>
      <w:r>
        <w:t xml:space="preserve">, not just specialized centers.</w:t>
      </w:r>
    </w:p>
    <w:bookmarkEnd w:id="25"/>
    <w:bookmarkStart w:id="26" w:name="conclusions"/>
    <w:p>
      <w:pPr>
        <w:pStyle w:val="Heading2"/>
      </w:pPr>
      <w:r>
        <w:t xml:space="preserve">Conclusions and Recommendations</w:t>
      </w:r>
    </w:p>
    <w:p>
      <w:pPr>
        <w:pStyle w:val="FirstParagraph"/>
      </w:pPr>
      <w:r>
        <w:t xml:space="preserve">In conclusion, this</w:t>
      </w:r>
      <w:r>
        <w:t xml:space="preserve"> </w:t>
      </w:r>
      <w:r>
        <w:rPr>
          <w:bCs/>
          <w:b/>
        </w:rPr>
        <w:t xml:space="preserve">Laboratory Report</w:t>
      </w:r>
      <w:r>
        <w:t xml:space="preserve"> </w:t>
      </w:r>
      <w:r>
        <w:t xml:space="preserve">affirms that the status of the</w:t>
      </w:r>
      <w:r>
        <w:t xml:space="preserve"> </w:t>
      </w:r>
      <w:r>
        <w:rPr>
          <w:iCs/>
          <w:i/>
        </w:rPr>
        <w:t xml:space="preserve">Pharmacist</w:t>
      </w:r>
      <w:r>
        <w:t xml:space="preserve"> </w:t>
      </w:r>
      <w:r>
        <w:t xml:space="preserve">in Riyadh, Saudi Arabia, is undergoing a profound transformation. The data supports a move away from product-centric care to patient-centric clinical models. The following key conclusions are drawn:</w:t>
      </w:r>
    </w:p>
    <w:p>
      <w:pPr>
        <w:pStyle w:val="BodyText"/>
      </w:pPr>
      <w:r>
        <w:t xml:space="preserve">1.</w:t>
      </w:r>
      <w:r>
        <w:t xml:space="preserve"> </w:t>
      </w:r>
      <w:r>
        <w:rPr>
          <w:bCs/>
          <w:b/>
        </w:rPr>
        <w:t xml:space="preserve">Clinical Integration:</w:t>
      </w:r>
      <w:r>
        <w:t xml:space="preserve">The pharmacist in Riyadh is successfully integrating into healthcare teams, reducing errors and improving outcomes.</w:t>
      </w:r>
    </w:p>
    <w:p>
      <w:pPr>
        <w:pStyle w:val="BodyText"/>
      </w:pPr>
      <w:r>
        <w:t xml:space="preserve">2.</w:t>
      </w:r>
      <w:r>
        <w:t xml:space="preserve"> </w:t>
      </w:r>
      <w:r>
        <w:rPr>
          <w:bCs/>
          <w:b/>
        </w:rPr>
        <w:t xml:space="preserve">Digital Transition:</w:t>
      </w:r>
      <w:r>
        <w:t xml:space="preserve">Saudi Arabia's digital infrastructure supports pharmacists, but training must keep pace with technological advancements.</w:t>
      </w:r>
    </w:p>
    <w:p>
      <w:pPr>
        <w:pStyle w:val="BodyText"/>
      </w:pPr>
      <w:r>
        <w:t xml:space="preserve">3.</w:t>
      </w:r>
      <w:r>
        <w:t xml:space="preserve"> </w:t>
      </w:r>
      <w:r>
        <w:rPr>
          <w:bCs/>
          <w:b/>
        </w:rPr>
        <w:t xml:space="preserve">Communication Skills:</w:t>
      </w:r>
      <w:r>
        <w:t xml:space="preserve">Multilingual proficiency is essential for the modern pharmacist in Riyadh's diverse demographic.</w:t>
      </w:r>
    </w:p>
    <w:p>
      <w:pPr>
        <w:pStyle w:val="BodyText"/>
      </w:pPr>
      <w:r>
        <w:t xml:space="preserve">Based on these findings, this</w:t>
      </w:r>
      <w:r>
        <w:t xml:space="preserve"> </w:t>
      </w:r>
      <w:r>
        <w:rPr>
          <w:iCs/>
          <w:i/>
        </w:rPr>
        <w:t xml:space="preserve">Laboratory Report</w:t>
      </w:r>
      <w:r>
        <w:t xml:space="preserve"> </w:t>
      </w:r>
      <w:r>
        <w:t xml:space="preserve">recommends that regulatory bodies in</w:t>
      </w:r>
      <w:r>
        <w:t xml:space="preserve"> </w:t>
      </w:r>
      <w:r>
        <w:rPr>
          <w:bCs/>
          <w:b/>
        </w:rPr>
        <w:t xml:space="preserve">Saudi Arabia</w:t>
      </w:r>
      <w:r>
        <w:t xml:space="preserve"> </w:t>
      </w:r>
      <w:r>
        <w:t xml:space="preserve">mandate continuous clinical education modules for all licensed pharmacists. Furthermore, incentivizing clinical certifications could further elevate the profession. The future of healthcare in Riyadh relies heavily on empowering the pharmacist to act not just as a distributor of medicine, but as a guardian of public health.</w:t>
      </w:r>
    </w:p>
    <w:bookmarkEnd w:id="26"/>
    <w:bookmarkStart w:id="27" w:name="references"/>
    <w:p>
      <w:pPr>
        <w:pStyle w:val="Heading2"/>
      </w:pPr>
      <w:r>
        <w:t xml:space="preserve">References and Standards</w:t>
      </w:r>
    </w:p>
    <w:p>
      <w:pPr>
        <w:pStyle w:val="FirstParagraph"/>
      </w:pPr>
      <w:r>
        <w:t xml:space="preserve">This document adheres to standards set by:</w:t>
      </w:r>
    </w:p>
    <w:p>
      <w:pPr>
        <w:numPr>
          <w:ilvl w:val="0"/>
          <w:numId w:val="1002"/>
        </w:numPr>
        <w:pStyle w:val="Compact"/>
      </w:pPr>
      <w:r>
        <w:t xml:space="preserve">Saudi Food and Drug Authority (SFDA)</w:t>
      </w:r>
    </w:p>
    <w:p>
      <w:pPr>
        <w:numPr>
          <w:ilvl w:val="0"/>
          <w:numId w:val="1002"/>
        </w:numPr>
        <w:pStyle w:val="Compact"/>
      </w:pPr>
      <w:r>
        <w:t xml:space="preserve">Saudi Commission for Health Specialties (SCFHS)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Evaluation of Pharmacist Services in Saudi Arabia, Riyadh</dc:title>
  <dc:creator/>
  <dc:language>en</dc:language>
  <cp:keywords/>
  <dcterms:created xsi:type="dcterms:W3CDTF">2026-07-29T11:59:38Z</dcterms:created>
  <dcterms:modified xsi:type="dcterms:W3CDTF">2026-07-29T11:59:38Z</dcterms:modified>
</cp:coreProperties>
</file>

<file path=docProps/custom.xml><?xml version="1.0" encoding="utf-8"?>
<Properties xmlns="http://schemas.openxmlformats.org/officeDocument/2006/custom-properties" xmlns:vt="http://schemas.openxmlformats.org/officeDocument/2006/docPropsVTypes"/>
</file>