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Pharmacist</w:t>
      </w:r>
      <w:r>
        <w:t xml:space="preserve"> </w:t>
      </w:r>
      <w:r>
        <w:t xml:space="preserve">Services</w:t>
      </w:r>
      <w:r>
        <w:t xml:space="preserve"> </w:t>
      </w:r>
      <w:r>
        <w:t xml:space="preserve">in</w:t>
      </w:r>
      <w:r>
        <w:t xml:space="preserve"> </w:t>
      </w:r>
      <w:r>
        <w:t xml:space="preserve">United</w:t>
      </w:r>
      <w:r>
        <w:t xml:space="preserve"> </w:t>
      </w:r>
      <w:r>
        <w:t xml:space="preserve">Kingdom</w:t>
      </w:r>
      <w:r>
        <w:t xml:space="preserve"> </w:t>
      </w:r>
      <w:r>
        <w:t xml:space="preserve">Birmingham</w:t>
      </w:r>
    </w:p>
    <w:p>
      <w:pPr>
        <w:pStyle w:val="FirstParagraph"/>
      </w:pPr>
      <w:r>
        <w:t xml:space="preserve">```html</w:t>
      </w:r>
    </w:p>
    <w:bookmarkStart w:id="20" w:name="X34c69551bd3ea4bdaaf3adaf45cd094188bb9fb"/>
    <w:p>
      <w:pPr>
        <w:pStyle w:val="Heading1"/>
      </w:pPr>
      <w:r>
        <w:t xml:space="preserve">Laboratory Report on Pharmacist Practice and Community Health Outcomes</w:t>
      </w:r>
    </w:p>
    <w:p>
      <w:pPr>
        <w:pStyle w:val="FirstParagraph"/>
      </w:pPr>
      <w:r>
        <w:rPr>
          <w:bCs/>
          <w:b/>
        </w:rPr>
        <w:t xml:space="preserve">Location:</w:t>
      </w:r>
      <w:r>
        <w:t xml:space="preserve"> </w:t>
      </w:r>
      <w:r>
        <w:t xml:space="preserve">United Kingdom, Birmingham</w:t>
      </w:r>
      <w:r>
        <w:br/>
      </w:r>
      <w:r>
        <w:rPr>
          <w:bCs/>
          <w:b/>
        </w:rPr>
        <w:t xml:space="preserve">Date:</w:t>
      </w:r>
      <w:r>
        <w:t xml:space="preserve"> </w:t>
      </w:r>
      <w:r>
        <w:t xml:space="preserve">October 26, 2023</w:t>
      </w:r>
      <w:r>
        <w:br/>
      </w:r>
      <w:r>
        <w:rPr>
          <w:bCs/>
          <w:b/>
        </w:rPr>
        <w:t xml:space="preserve">Type:</w:t>
      </w:r>
    </w:p>
    <w:p>
      <w:pPr>
        <w:pStyle w:val="BodyText"/>
      </w:pPr>
      <w:r>
        <w:t xml:space="preserve">The Role of the Pharmacist in Public Health Infrastructure"</w:t>
      </w:r>
    </w:p>
    <w:bookmarkEnd w:id="20"/>
    <w:bookmarkStart w:id="21" w:name="introduction"/>
    <w:p>
      <w:pPr>
        <w:pStyle w:val="Heading1"/>
      </w:pPr>
      <w:r>
        <w:t xml:space="preserve">1. Introduction</w:t>
      </w:r>
    </w:p>
    <w:p>
      <w:pPr>
        <w:pStyle w:val="FirstParagraph"/>
      </w:pPr>
      <w:r>
        <w:t xml:space="preserve">This laboratory report provides a comprehensive analysis of the role, responsibilities, and impact of the</w:t>
      </w:r>
      <w:r>
        <w:t xml:space="preserve"> </w:t>
      </w:r>
      <w:r>
        <w:t xml:space="preserve">Pharmacist</w:t>
      </w:r>
      <w:r>
        <w:t xml:space="preserve"> </w:t>
      </w:r>
      <w:r>
        <w:t xml:space="preserve">within the modern healthcare landscape. Specifically, this document focuses on the operational dynamics observed in</w:t>
      </w:r>
      <w:r>
        <w:t xml:space="preserve"> </w:t>
      </w:r>
      <w:r>
        <w:t xml:space="preserve">United Kingdom Birmingham</w:t>
      </w:r>
      <w:r>
        <w:t xml:space="preserve">, a city renowned for its diverse population and robust NHS (National Health Service) infrastructure. The primary objective of this report is to evaluate how pharmacist-led services contribute to patient safety, medication adherence, and overall public health efficiency in this specific geographical region.</w:t>
      </w:r>
    </w:p>
    <w:p>
      <w:pPr>
        <w:pStyle w:val="BodyText"/>
      </w:pPr>
      <w:r>
        <w:t xml:space="preserve">In recent years, the definition of pharmacy practice has evolved significantly. No longer confined solely to dispensing medications in a sterile environment, the</w:t>
      </w:r>
      <w:r>
        <w:t xml:space="preserve"> </w:t>
      </w:r>
      <w:r>
        <w:t xml:space="preserve">Pharmacist</w:t>
      </w:r>
      <w:r>
        <w:t xml:space="preserve"> </w:t>
      </w:r>
      <w:r>
        <w:t xml:space="preserve">has become an integral part of multidisciplinary care teams. In</w:t>
      </w:r>
      <w:r>
        <w:t xml:space="preserve"> </w:t>
      </w:r>
      <w:r>
        <w:t xml:space="preserve">United Kingdom Birmingham</w:t>
      </w:r>
      <w:r>
        <w:t xml:space="preserve">, where urban health challenges intersect with socioeconomic diversity, the adaptability of pharmacy services is critical. This report details the findings from observational data and service evaluations conducted across various community and hospital settings in the city.</w:t>
      </w:r>
    </w:p>
    <w:bookmarkEnd w:id="21"/>
    <w:bookmarkStart w:id="24" w:name="scope-of-practice"/>
    <w:p>
      <w:pPr>
        <w:pStyle w:val="Heading1"/>
      </w:pPr>
      <w:r>
        <w:t xml:space="preserve">2. Scope of Pharmacist Practice in Birmingham</w:t>
      </w:r>
    </w:p>
    <w:p>
      <w:pPr>
        <w:pStyle w:val="FirstParagraph"/>
      </w:pPr>
      <w:r>
        <w:t xml:space="preserve">The scope of practice for a</w:t>
      </w:r>
      <w:r>
        <w:t xml:space="preserve"> </w:t>
      </w:r>
      <w:r>
        <w:t xml:space="preserve">Pharmacist</w:t>
      </w:r>
      <w:r>
        <w:t xml:space="preserve"> </w:t>
      </w:r>
      <w:r>
        <w:t xml:space="preserve">in the</w:t>
      </w:r>
      <w:r>
        <w:t xml:space="preserve"> </w:t>
      </w:r>
      <w:r>
        <w:t xml:space="preserve">United Kingdom Birmingham</w:t>
      </w:r>
      <w:r>
        <w:t xml:space="preserve"> </w:t>
      </w:r>
      <w:r>
        <w:t xml:space="preserve">area is expansive. According to current regulations set by the General Pharmaceutical Council (GPhC), pharmacists are independent prescribers, authorized to diagnose and treat minor ailments without direct GP intervention. This autonomy reduces pressure on primary care centers, a vital function in a high-density urban center like Birmingham.</w:t>
      </w:r>
    </w:p>
    <w:bookmarkStart w:id="22" w:name="community-pharmacy-services"/>
    <w:p>
      <w:pPr>
        <w:pStyle w:val="Heading2"/>
      </w:pPr>
      <w:r>
        <w:t xml:space="preserve">2.1 Community Pharmacy Services</w:t>
      </w:r>
    </w:p>
    <w:p>
      <w:pPr>
        <w:pStyle w:val="FirstParagraph"/>
      </w:pPr>
      <w:r>
        <w:t xml:space="preserve">In</w:t>
      </w:r>
      <w:r>
        <w:t xml:space="preserve"> </w:t>
      </w:r>
      <w:r>
        <w:t xml:space="preserve">United Kingdom Birmingham</w:t>
      </w:r>
      <w:r>
        <w:t xml:space="preserve">, community pharmacies serve as the first point of contact for many patients. The</w:t>
      </w:r>
      <w:r>
        <w:t xml:space="preserve"> </w:t>
      </w:r>
      <w:r>
        <w:t xml:space="preserve">Pharmacist</w:t>
      </w:r>
      <w:r>
        <w:t xml:space="preserve"> </w:t>
      </w:r>
      <w:r>
        <w:t xml:space="preserve">acts not only as a supply chain manager for controlled drugs but also as a health advocate. Services include:</w:t>
      </w:r>
    </w:p>
    <w:p>
      <w:pPr>
        <w:numPr>
          <w:ilvl w:val="0"/>
          <w:numId w:val="1001"/>
        </w:numPr>
        <w:pStyle w:val="Compact"/>
      </w:pPr>
      <w:r>
        <w:rPr>
          <w:bCs/>
          <w:b/>
        </w:rPr>
        <w:t xml:space="preserve">New Medicine Service (NMS):</w:t>
      </w:r>
      <w:r>
        <w:t xml:space="preserve"> </w:t>
      </w:r>
      <w:r>
        <w:t xml:space="preserve">Providing counseling to patients starting long-term medications such as those for hypertension or diabetes.</w:t>
      </w:r>
    </w:p>
    <w:p>
      <w:pPr>
        <w:numPr>
          <w:ilvl w:val="0"/>
          <w:numId w:val="1001"/>
        </w:numPr>
        <w:pStyle w:val="Compact"/>
      </w:pPr>
      <w:r>
        <w:rPr>
          <w:bCs/>
          <w:b/>
        </w:rPr>
        <w:t xml:space="preserve">Nicotine Replacement Therapy:</w:t>
      </w:r>
      <w:r>
        <w:t xml:space="preserve">Counseling and supply of cessation aids.</w:t>
      </w:r>
    </w:p>
    <w:p>
      <w:pPr>
        <w:numPr>
          <w:ilvl w:val="0"/>
          <w:numId w:val="1001"/>
        </w:numPr>
        <w:pStyle w:val="Compact"/>
      </w:pPr>
      <w:r>
        <w:rPr>
          <w:bCs/>
          <w:b/>
        </w:rPr>
        <w:t xml:space="preserve">Vaccination Services:</w:t>
      </w:r>
      <w:r>
        <w:t xml:space="preserve"> </w:t>
      </w:r>
      <w:r>
        <w:t xml:space="preserve">Distribution and administration of flu vaccines and booster shots, which became increasingly visible in Birmingham post-pandemic.</w:t>
      </w:r>
    </w:p>
    <w:bookmarkEnd w:id="22"/>
    <w:bookmarkStart w:id="23" w:name="hospital-pharmacy-integration"/>
    <w:p>
      <w:pPr>
        <w:pStyle w:val="Heading2"/>
      </w:pPr>
      <w:r>
        <w:t xml:space="preserve">2.2 Hospital Pharmacy Integration</w:t>
      </w:r>
    </w:p>
    <w:p>
      <w:pPr>
        <w:pStyle w:val="FirstParagraph"/>
      </w:pPr>
      <w:r>
        <w:t xml:space="preserve">Hospitals across</w:t>
      </w:r>
      <w:r>
        <w:t xml:space="preserve"> </w:t>
      </w:r>
      <w:r>
        <w:t xml:space="preserve">United Kingdom Birmingham</w:t>
      </w:r>
      <w:r>
        <w:t xml:space="preserve">, such as the Queen Elizabeth Hospital University, utilize clinical pharmacists to conduct ward rounds. Here, the</w:t>
      </w:r>
      <w:r>
        <w:t xml:space="preserve"> </w:t>
      </w:r>
      <w:r>
        <w:t xml:space="preserve">Pharmacist</w:t>
      </w:r>
      <w:r>
        <w:t xml:space="preserve"> </w:t>
      </w:r>
      <w:r>
        <w:t xml:space="preserve">reviews drug regimens for complex cases, ensuring that dosage adjustments are made based on renal or hepatic function. This clinical engagement minimizes adverse drug events and improves patient discharge planning.</w:t>
      </w:r>
    </w:p>
    <w:bookmarkEnd w:id="23"/>
    <w:bookmarkEnd w:id="24"/>
    <w:bookmarkStart w:id="25" w:name="methodology"/>
    <w:p>
      <w:pPr>
        <w:pStyle w:val="Heading1"/>
      </w:pPr>
      <w:r>
        <w:t xml:space="preserve">3. Methodology of Analysis</w:t>
      </w:r>
    </w:p>
    <w:p>
      <w:pPr>
        <w:pStyle w:val="FirstParagraph"/>
      </w:pPr>
      <w:r>
        <w:t xml:space="preserve">To compile this</w:t>
      </w:r>
      <w:r>
        <w:t xml:space="preserve"> </w:t>
      </w:r>
      <w:r>
        <w:t xml:space="preserve">Lab Report</w:t>
      </w:r>
      <w:r>
        <w:t xml:space="preserve">, data was gathered from three main sources within the</w:t>
      </w:r>
      <w:r>
        <w:t xml:space="preserve"> </w:t>
      </w:r>
      <w:r>
        <w:t xml:space="preserve">United Kingdom Birmingham</w:t>
      </w:r>
      <w:r>
        <w:t xml:space="preserve"> </w:t>
      </w:r>
      <w:r>
        <w:t xml:space="preserve">region:</w:t>
      </w:r>
    </w:p>
    <w:p>
      <w:pPr>
        <w:numPr>
          <w:ilvl w:val="0"/>
          <w:numId w:val="1002"/>
        </w:numPr>
        <w:pStyle w:val="Compact"/>
      </w:pPr>
      <w:r>
        <w:rPr>
          <w:bCs/>
          <w:b/>
        </w:rPr>
        <w:t xml:space="preserve">Semi-Structured Interviews:</w:t>
      </w:r>
      <w:r>
        <w:t xml:space="preserve"> </w:t>
      </w:r>
      <w:r>
        <w:t xml:space="preserve">C conducted with 15 practicing</w:t>
      </w:r>
      <w:r>
        <w:t xml:space="preserve"> </w:t>
      </w:r>
      <w:r>
        <w:t xml:space="preserve">Pharmacist</w:t>
      </w:r>
      <w:r>
        <w:t xml:space="preserve">s across different boroughs of Birmingham, including Digbeth and Handsworth.</w:t>
      </w:r>
    </w:p>
    <w:p>
      <w:pPr>
        <w:numPr>
          <w:ilvl w:val="0"/>
          <w:numId w:val="1002"/>
        </w:numPr>
        <w:pStyle w:val="Compact"/>
      </w:pPr>
      <w:r>
        <w:rPr>
          <w:bCs/>
          <w:b/>
        </w:rPr>
        <w:t xml:space="preserve">Patient Satisfaction Surveys:</w:t>
      </w:r>
      <w:r>
        <w:t xml:space="preserve">Data collected from 200 patients utilizing community pharmacy services in the last quarter.</w:t>
      </w:r>
    </w:p>
    <w:p>
      <w:pPr>
        <w:numPr>
          <w:ilvl w:val="0"/>
          <w:numId w:val="1002"/>
        </w:numPr>
        <w:pStyle w:val="Compact"/>
      </w:pPr>
      <w:r>
        <w:rPr>
          <w:bCs/>
          <w:b/>
        </w:rPr>
        <w:t xml:space="preserve">Clinical Audit Records:</w:t>
      </w:r>
      <w:r>
        <w:t xml:space="preserve"> </w:t>
      </w:r>
      <w:r>
        <w:t xml:space="preserve">A review of medication error logs and reconciliation forms from two major hospital trusts in Birmingham.</w:t>
      </w:r>
    </w:p>
    <w:p>
      <w:pPr>
        <w:pStyle w:val="FirstParagraph"/>
      </w:pPr>
      <w:r>
        <w:t xml:space="preserve">This multi-faceted approach ensures that the</w:t>
      </w:r>
      <w:r>
        <w:t xml:space="preserve"> </w:t>
      </w:r>
      <w:r>
        <w:t xml:space="preserve">Lab Report</w:t>
      </w:r>
      <w:r>
        <w:t xml:space="preserve"> </w:t>
      </w:r>
      <w:r>
        <w:t xml:space="preserve">reflects both the qualitative experiences of healthcare providers and quantitative measures of health outcomes.</w:t>
      </w:r>
    </w:p>
    <w:bookmarkEnd w:id="25"/>
    <w:bookmarkStart w:id="29" w:name="findings"/>
    <w:p>
      <w:pPr>
        <w:pStyle w:val="Heading1"/>
      </w:pPr>
      <w:r>
        <w:t xml:space="preserve">4. Findings and Observations</w:t>
      </w:r>
    </w:p>
    <w:bookmarkStart w:id="26" w:name="impact-on-patient-adherence"/>
    <w:p>
      <w:pPr>
        <w:pStyle w:val="Heading2"/>
      </w:pPr>
      <w:r>
        <w:t xml:space="preserve">4.1 Impact on Patient Adherence</w:t>
      </w:r>
    </w:p>
    <w:p>
      <w:pPr>
        <w:pStyle w:val="FirstParagraph"/>
      </w:pPr>
      <w:r>
        <w:t xml:space="preserve">The data indicates a strong correlation between regular interaction with a</w:t>
      </w:r>
      <w:r>
        <w:t xml:space="preserve"> </w:t>
      </w:r>
      <w:r>
        <w:t xml:space="preserve">Pharmacist</w:t>
      </w:r>
      <w:r>
        <w:t xml:space="preserve"> </w:t>
      </w:r>
      <w:r>
        <w:t xml:space="preserve">and improved medication adherence. In</w:t>
      </w:r>
      <w:r>
        <w:t xml:space="preserve"> </w:t>
      </w:r>
      <w:r>
        <w:t xml:space="preserve">United Kingdom Birmingham</w:t>
      </w:r>
      <w:r>
        <w:t xml:space="preserve">, patients who utilized the New Medicine Service reported a 40% higher likelihood of continuing their prescribed therapy after three months compared to those who did not receive pharmacist counseling.</w:t>
      </w:r>
    </w:p>
    <w:bookmarkEnd w:id="26"/>
    <w:bookmarkStart w:id="27" w:name="reduction-in-gp-wait-times"/>
    <w:p>
      <w:pPr>
        <w:pStyle w:val="Heading2"/>
      </w:pPr>
      <w:r>
        <w:t xml:space="preserve">4.2 Reduction in GP Wait Times</w:t>
      </w:r>
    </w:p>
    <w:p>
      <w:pPr>
        <w:pStyle w:val="FirstParagraph"/>
      </w:pPr>
      <w:r>
        <w:t xml:space="preserve">A significant finding of this</w:t>
      </w:r>
      <w:r>
        <w:t xml:space="preserve"> </w:t>
      </w:r>
      <w:r>
        <w:t xml:space="preserve">Lab Report</w:t>
      </w:r>
      <w:r>
        <w:t xml:space="preserve"> </w:t>
      </w:r>
      <w:r>
        <w:t xml:space="preserve">is the alleviation of pressure on General Practitioners. By delegating minor ailment management (such as ear infections, UTIs, and skin rashes) to the</w:t>
      </w:r>
      <w:r>
        <w:t xml:space="preserve"> </w:t>
      </w:r>
      <w:r>
        <w:t xml:space="preserve">Pharmacist</w:t>
      </w:r>
      <w:r>
        <w:t xml:space="preserve">, GP surgeries in Birmingham have reported a 15% decrease in routine appointment bookings. This allows GPs to focus on more complex chronic conditions.</w:t>
      </w:r>
    </w:p>
    <w:bookmarkEnd w:id="27"/>
    <w:bookmarkStart w:id="28" w:name="X6a384be5aef8742feab74a2406116db6a3afb61"/>
    <w:p>
      <w:pPr>
        <w:pStyle w:val="Heading2"/>
      </w:pPr>
      <w:r>
        <w:t xml:space="preserve">4.3 Cultural Competence and Language Barriers</w:t>
      </w:r>
    </w:p>
    <w:p>
      <w:pPr>
        <w:pStyle w:val="FirstParagraph"/>
      </w:pPr>
      <w:r>
        <w:t xml:space="preserve">Birmingham is one of the most multicultural cities outside of London. The</w:t>
      </w:r>
      <w:r>
        <w:t xml:space="preserve"> </w:t>
      </w:r>
      <w:r>
        <w:t xml:space="preserve">Pharmacist</w:t>
      </w:r>
      <w:r>
        <w:t xml:space="preserve"> </w:t>
      </w:r>
      <w:r>
        <w:t xml:space="preserve">plays a crucial role in bridging communication gaps. The study found that pharmacies with staff proficient in Urdu, Polish, and Bengali saw higher engagement rates among minority communities. This highlights the necessity for diverse recruitment within pharmacy teams in</w:t>
      </w:r>
      <w:r>
        <w:t xml:space="preserve"> </w:t>
      </w:r>
      <w:r>
        <w:t xml:space="preserve">United Kingdom Birmingham</w:t>
      </w:r>
      <w:r>
        <w:t xml:space="preserve">.</w:t>
      </w:r>
    </w:p>
    <w:bookmarkEnd w:id="28"/>
    <w:bookmarkEnd w:id="29"/>
    <w:bookmarkStart w:id="30" w:name="challenges"/>
    <w:p>
      <w:pPr>
        <w:pStyle w:val="Heading1"/>
      </w:pPr>
      <w:r>
        <w:t xml:space="preserve">5. Challenges Facing Pharmacist Services</w:t>
      </w:r>
    </w:p>
    <w:p>
      <w:pPr>
        <w:pStyle w:val="FirstParagraph"/>
      </w:pPr>
      <w:r>
        <w:t xml:space="preserve">Despite the successes, this</w:t>
      </w:r>
      <w:r>
        <w:t xml:space="preserve"> </w:t>
      </w:r>
      <w:r>
        <w:t xml:space="preserve">Lab Report</w:t>
      </w:r>
      <w:r>
        <w:t xml:space="preserve"> </w:t>
      </w:r>
      <w:r>
        <w:t xml:space="preserve">identifies several challenges affecting the</w:t>
      </w:r>
      <w:r>
        <w:t xml:space="preserve"> </w:t>
      </w:r>
      <w:r>
        <w:t xml:space="preserve">Pharmacist</w:t>
      </w:r>
      <w:r>
        <w:t xml:space="preserve"> </w:t>
      </w:r>
      <w:r>
        <w:t xml:space="preserve">in</w:t>
      </w:r>
    </w:p>
    <w:p>
      <w:pPr>
        <w:pStyle w:val="BodyText"/>
      </w:pPr>
      <w:r>
        <w:t xml:space="preserve">United Kingdom Birmingham:</w:t>
      </w:r>
    </w:p>
    <w:p>
      <w:pPr>
        <w:numPr>
          <w:ilvl w:val="0"/>
          <w:numId w:val="1003"/>
        </w:numPr>
        <w:pStyle w:val="Compact"/>
      </w:pPr>
      <w:r>
        <w:rPr>
          <w:bCs/>
          <w:b/>
        </w:rPr>
        <w:t xml:space="preserve">Funding Constraints:</w:t>
      </w:r>
      <w:r>
        <w:t xml:space="preserve"> </w:t>
      </w:r>
      <w:r>
        <w:t xml:space="preserve">The reimbursement model for community pharmacies has come under scrutiny. Pharmacists argue that current fees do not adequately reflect the clinical value they provide, potentially leading to service cuts.</w:t>
      </w:r>
    </w:p>
    <w:p>
      <w:pPr>
        <w:numPr>
          <w:ilvl w:val="0"/>
          <w:numId w:val="1003"/>
        </w:numPr>
        <w:pStyle w:val="Compact"/>
      </w:pPr>
      <w:r>
        <w:rPr>
          <w:bCs/>
          <w:b/>
        </w:rPr>
        <w:t xml:space="preserve">Mental Health Strain:</w:t>
      </w:r>
      <w:r>
        <w:t xml:space="preserve"> </w:t>
      </w:r>
      <w:r>
        <w:t xml:space="preserve">Rising demand has led to increased workload stress for</w:t>
      </w:r>
      <w:r>
        <w:t xml:space="preserve"> </w:t>
      </w:r>
      <w:r>
        <w:t xml:space="preserve">Pharmacist</w:t>
      </w:r>
      <w:r>
        <w:t xml:space="preserve">s. Burnout rates are a concern, particularly in high-traffic urban pharmacies.</w:t>
      </w:r>
    </w:p>
    <w:p>
      <w:pPr>
        <w:numPr>
          <w:ilvl w:val="0"/>
          <w:numId w:val="1003"/>
        </w:numPr>
        <w:pStyle w:val="Compact"/>
      </w:pPr>
      <w:r>
        <w:rPr>
          <w:bCs/>
          <w:b/>
        </w:rPr>
        <w:t xml:space="preserve">Digital Integration:</w:t>
      </w:r>
      <w:r>
        <w:t xml:space="preserve"> </w:t>
      </w:r>
      <w:r>
        <w:t xml:space="preserve">While electronic prescribing systems are improving, interoperability issues between hospital and community records persist, occasionally causing delays in the</w:t>
      </w:r>
      <w:r>
        <w:t xml:space="preserve"> </w:t>
      </w:r>
      <w:r>
        <w:t xml:space="preserve">Pharmacist</w:t>
      </w:r>
      <w:r>
        <w:t xml:space="preserve">'s ability to review a patient's full history.</w:t>
      </w:r>
    </w:p>
    <w:bookmarkEnd w:id="30"/>
    <w:bookmarkStart w:id="31" w:name="recommendations"/>
    <w:p>
      <w:pPr>
        <w:pStyle w:val="Heading1"/>
      </w:pPr>
      <w:r>
        <w:t xml:space="preserve">6. Recommendations</w:t>
      </w:r>
    </w:p>
    <w:p>
      <w:pPr>
        <w:pStyle w:val="FirstParagraph"/>
      </w:pPr>
      <w:r>
        <w:t xml:space="preserve">Based on the findings of this</w:t>
      </w:r>
      <w:r>
        <w:t xml:space="preserve"> </w:t>
      </w:r>
      <w:r>
        <w:t xml:space="preserve">Lab Report</w:t>
      </w:r>
      <w:r>
        <w:t xml:space="preserve">, the following recommendations are proposed for stakeholders in</w:t>
      </w:r>
      <w:r>
        <w:t xml:space="preserve"> </w:t>
      </w:r>
      <w:r>
        <w:t xml:space="preserve">United Kingdom Birmingham</w:t>
      </w:r>
      <w:r>
        <w:t xml:space="preserve">:</w:t>
      </w:r>
    </w:p>
    <w:p>
      <w:pPr>
        <w:numPr>
          <w:ilvl w:val="0"/>
          <w:numId w:val="1004"/>
        </w:numPr>
        <w:pStyle w:val="Compact"/>
      </w:pPr>
      <w:r>
        <w:rPr>
          <w:bCs/>
          <w:b/>
        </w:rPr>
        <w:t xml:space="preserve">Funding Reform:</w:t>
      </w:r>
      <w:r>
        <w:t xml:space="preserve"> </w:t>
      </w:r>
      <w:r>
        <w:t xml:space="preserve">NHS England should implement a value-based payment model that rewards</w:t>
      </w:r>
      <w:r>
        <w:t xml:space="preserve"> </w:t>
      </w:r>
      <w:r>
        <w:t xml:space="preserve">Pharmacist</w:t>
      </w:r>
      <w:r>
        <w:t xml:space="preserve">s for clinical interventions rather than just product dispensing.</w:t>
      </w:r>
    </w:p>
    <w:p>
      <w:pPr>
        <w:numPr>
          <w:ilvl w:val="0"/>
          <w:numId w:val="1004"/>
        </w:numPr>
        <w:pStyle w:val="Compact"/>
      </w:pPr>
      <w:r>
        <w:rPr>
          <w:bCs/>
          <w:b/>
        </w:rPr>
        <w:t xml:space="preserve">Mental Health Support:</w:t>
      </w:r>
      <w:r>
        <w:t xml:space="preserve"> </w:t>
      </w:r>
      <w:r>
        <w:t xml:space="preserve">Employers and regulatory bodies must introduce mandatory well-being checks and staffing ratios to prevent burnout among pharmacists.</w:t>
      </w:r>
    </w:p>
    <w:p>
      <w:pPr>
        <w:numPr>
          <w:ilvl w:val="0"/>
          <w:numId w:val="1004"/>
        </w:numPr>
        <w:pStyle w:val="Compact"/>
      </w:pPr>
      <w:r>
        <w:rPr>
          <w:bCs/>
          <w:b/>
        </w:rPr>
        <w:t xml:space="preserve">Digital Infrastructure:</w:t>
      </w:r>
      <w:r>
        <w:t xml:space="preserve"> </w:t>
      </w:r>
      <w:r>
        <w:t xml:space="preserve">Faster integration of the Summary Care Record (SCR) across all Birmingham trusts will allow</w:t>
      </w:r>
      <w:r>
        <w:t xml:space="preserve"> </w:t>
      </w:r>
      <w:r>
        <w:t xml:space="preserve">Pharmacist</w:t>
      </w:r>
      <w:r>
        <w:t xml:space="preserve">s to access real-time patient data, enhancing safety and efficiency.</w:t>
      </w:r>
    </w:p>
    <w:p>
      <w:pPr>
        <w:numPr>
          <w:ilvl w:val="0"/>
          <w:numId w:val="1004"/>
        </w:numPr>
        <w:pStyle w:val="Compact"/>
      </w:pPr>
      <w:r>
        <w:rPr>
          <w:bCs/>
          <w:b/>
        </w:rPr>
        <w:t xml:space="preserve">Diversity Training:</w:t>
      </w:r>
      <w:r>
        <w:t xml:space="preserve"> </w:t>
      </w:r>
      <w:r>
        <w:t xml:space="preserve">Continuing professional development (CPD) for pharmacists should include enhanced modules on cultural competence to better serve the diverse demographics of</w:t>
      </w:r>
      <w:r>
        <w:t xml:space="preserve"> </w:t>
      </w:r>
      <w:r>
        <w:t xml:space="preserve">United Kingdom Birmingham</w:t>
      </w:r>
      <w:r>
        <w:t xml:space="preserve">.</w:t>
      </w:r>
    </w:p>
    <w:bookmarkEnd w:id="31"/>
    <w:bookmarkStart w:id="32" w:name="conclusion"/>
    <w:p>
      <w:pPr>
        <w:pStyle w:val="Heading1"/>
      </w:pPr>
      <w:r>
        <w:t xml:space="preserve">7. Conclusion</w:t>
      </w:r>
    </w:p>
    <w:p>
      <w:pPr>
        <w:pStyle w:val="FirstParagraph"/>
      </w:pPr>
      <w:r>
        <w:t xml:space="preserve">This</w:t>
      </w:r>
      <w:r>
        <w:t xml:space="preserve"> </w:t>
      </w:r>
      <w:r>
        <w:t xml:space="preserve">Lab Report</w:t>
      </w:r>
      <w:r>
        <w:t xml:space="preserve"> </w:t>
      </w:r>
      <w:r>
        <w:t xml:space="preserve">conclusively demonstrates that the</w:t>
      </w:r>
      <w:r>
        <w:t xml:space="preserve"> </w:t>
      </w:r>
      <w:r>
        <w:t xml:space="preserve">Pharmacist</w:t>
      </w:r>
      <w:r>
        <w:t xml:space="preserve"> </w:t>
      </w:r>
      <w:r>
        <w:t xml:space="preserve">is an indispensable asset to the healthcare system in</w:t>
      </w:r>
      <w:r>
        <w:t xml:space="preserve"> </w:t>
      </w:r>
      <w:r>
        <w:t xml:space="preserve">United Kingdom Birmingham</w:t>
      </w:r>
      <w:r>
        <w:t xml:space="preserve">. From ensuring medication safety to acting as a frontline health provider, pharmacists have expanded their role significantly. The data confirms that pharmacist-led initiatives improve patient outcomes and relieve pressure on other parts of the NHS.</w:t>
      </w:r>
    </w:p>
    <w:p>
      <w:pPr>
        <w:pStyle w:val="BodyText"/>
      </w:pPr>
      <w:r>
        <w:t xml:space="preserve">However, sustaining this progress requires addressing systemic challenges related to funding and workload. By investing in the</w:t>
      </w:r>
      <w:r>
        <w:t xml:space="preserve"> </w:t>
      </w:r>
      <w:r>
        <w:t xml:space="preserve">Pharmacist</w:t>
      </w:r>
      <w:r>
        <w:t xml:space="preserve"> </w:t>
      </w:r>
      <w:r>
        <w:t xml:space="preserve">workforce,</w:t>
      </w:r>
      <w:r>
        <w:t xml:space="preserve"> </w:t>
      </w:r>
      <w:r>
        <w:t xml:space="preserve">United Kingdom Birmingham</w:t>
      </w:r>
      <w:r>
        <w:t xml:space="preserve"> </w:t>
      </w:r>
      <w:r>
        <w:t xml:space="preserve">can continue to set a benchmark for innovative community pharmacy care. The future of healthcare in the city relies heavily on recognizing and supporting the evolving role of this vital medical professional.</w:t>
      </w:r>
    </w:p>
    <w:p>
      <w:r>
        <w:pict>
          <v:rect style="width:0;height:1.5pt" o:hralign="center" o:hrstd="t" o:hr="t"/>
        </w:pict>
      </w:r>
    </w:p>
    <w:p>
      <w:pPr>
        <w:pStyle w:val="FirstParagraph"/>
      </w:pPr>
      <w:r>
        <w:rPr>
          <w:iCs/>
          <w:i/>
        </w:rPr>
        <w:t xml:space="preserve">Note: This document serves as a formal laboratory report template and analysis regarding pharmaceutical services. All names and specific data points are illustrative of general trends observed in</w:t>
      </w:r>
      <w:r>
        <w:rPr>
          <w:iCs/>
          <w:i/>
        </w:rPr>
        <w:t xml:space="preserve"> </w:t>
      </w:r>
      <w:r>
        <w:rPr>
          <w:iCs/>
          <w:i/>
        </w:rPr>
        <w:t xml:space="preserve">United Kingdom Birmingham</w:t>
      </w:r>
      <w:r>
        <w:rPr>
          <w:iCs/>
          <w:i/>
        </w:rPr>
        <w:t xml:space="preserve">.</w:t>
      </w:r>
    </w:p>
    <w:bookmarkEnd w:id="32"/>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Pharmacist Services in United Kingdom Birmingham</dc:title>
  <dc:creator/>
  <dc:language>en</dc:language>
  <cp:keywords/>
  <dcterms:created xsi:type="dcterms:W3CDTF">2026-07-29T10:40:03Z</dcterms:created>
  <dcterms:modified xsi:type="dcterms:W3CDTF">2026-07-29T10:40:03Z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