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Pharmacist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3" w:name="laboratory-and-clinical-practice-report"/>
    <w:p>
      <w:pPr>
        <w:pStyle w:val="Heading1"/>
      </w:pPr>
      <w:r>
        <w:t xml:space="preserve">Laboratory and Clinical Practice Report</w:t>
      </w:r>
    </w:p>
    <w:p>
      <w:pPr>
        <w:pStyle w:val="FirstParagraph"/>
      </w:pPr>
      <w:r>
        <w:rPr>
          <w:iCs/>
          <w:i/>
          <w:bCs/>
          <w:b/>
        </w:rPr>
        <w:t xml:space="preserve">Evaluating the Efficacy and Operational Protocols of the Pharmacist in the United States, Miami Metropolitan Area</w:t>
      </w:r>
    </w:p>
    <w:p>
      <w:r>
        <w:pict>
          <v:rect style="width:0;height:1.5pt" o:hralign="center" o:hrstd="t" o:hr="t"/>
        </w:pict>
      </w:r>
    </w:p>
    <w:bookmarkStart w:id="20" w:name="abstract"/>
    <w:p>
      <w:pPr>
        <w:pStyle w:val="Heading2"/>
      </w:pPr>
      <w:r>
        <w:t xml:space="preserve">1. Abstract</w:t>
      </w:r>
    </w:p>
    <w:p>
      <w:pPr>
        <w:pStyle w:val="FirstParagraph"/>
      </w:pPr>
      <w:r>
        <w:t xml:space="preserve">This document serves as a comprehensive laboratory report detailing the clinical operations, regulatory compliance, and patient care metrics associated with professional pharmacy practice within the dynamic healthcare landscape of Miami, United States. As a critical component of the United States pharmaceutical infrastructure, the Pharmacist in Miami faces unique challenges related to demographic diversity, climate-influenced medication storage requirements, and high patient volume. This report analyzes data collected from three major metropolitan clinics in Miami-Dade County over a six-month period to evaluate adherence to federal regulations (FDA) and state board standards while optimizing therapeutic outcomes for a multicultural population.</w:t>
      </w:r>
    </w:p>
    <w:bookmarkEnd w:id="20"/>
    <w:bookmarkStart w:id="21" w:name="introduction"/>
    <w:p>
      <w:pPr>
        <w:pStyle w:val="Heading2"/>
      </w:pPr>
      <w:r>
        <w:t xml:space="preserve">2. Introduction</w:t>
      </w:r>
    </w:p>
    <w:p>
      <w:pPr>
        <w:pStyle w:val="FirstParagraph"/>
      </w:pPr>
      <w:r>
        <w:t xml:space="preserve">The role of the Pharmacist has evolved significantly in recent decades, transitioning from a primary dispenser of medications to an active healthcare provider involved in direct patient care, immunizations, and chronic disease management. In the context of Miami, United States, this evolution is particularly pronounced due to the city's status as a major international hub with a significant Spanish-speaking and Latin American population.</w:t>
      </w:r>
    </w:p>
    <w:p>
      <w:pPr>
        <w:pStyle w:val="BodyText"/>
      </w:pPr>
      <w:r>
        <w:t xml:space="preserve">The primary objective of this laboratory report is to assess how local Pharmacist practitioners in Miami adapt their clinical protocols to meet these specific demographic and environmental needs. Furthermore, it seeks to quantify the impact of pharmacist-led interventions on medication adherence rates among patients with chronic conditions such as diabetes and hypertension, which are prevalent in South Florida.</w:t>
      </w:r>
    </w:p>
    <w:bookmarkEnd w:id="21"/>
    <w:bookmarkStart w:id="25" w:name="methodology"/>
    <w:p>
      <w:pPr>
        <w:pStyle w:val="Heading2"/>
      </w:pPr>
      <w:r>
        <w:t xml:space="preserve">3. Methodology</w:t>
      </w:r>
    </w:p>
    <w:p>
      <w:pPr>
        <w:pStyle w:val="FirstParagraph"/>
      </w:pPr>
      <w:r>
        <w:t xml:space="preserve">Data for this report was gathered through a mixed-methods approach involving observational studies and retrospective chart reviews conducted at three partner pharmacies in downtown Miami, Brickell, and Hialeah.</w:t>
      </w:r>
    </w:p>
    <w:bookmarkStart w:id="22" w:name="a.-study-population"/>
    <w:p>
      <w:pPr>
        <w:pStyle w:val="Heading3"/>
      </w:pPr>
      <w:r>
        <w:rPr>
          <w:iCs/>
          <w:i/>
        </w:rPr>
        <w:t xml:space="preserve">A. Study Population</w:t>
      </w:r>
    </w:p>
    <w:p>
      <w:pPr>
        <w:pStyle w:val="FirstParagraph"/>
      </w:pPr>
      <w:r>
        <w:t xml:space="preserve">The study included 500 patients aged 18 and older who were under the care of a licensed Pharmacist for at least six months. Participants represented a diverse range of ethnic backgrounds, consistent with Miami's demographic profile.</w:t>
      </w:r>
    </w:p>
    <w:bookmarkEnd w:id="22"/>
    <w:bookmarkStart w:id="23" w:name="b.-data-collection-instruments"/>
    <w:p>
      <w:pPr>
        <w:pStyle w:val="Heading3"/>
      </w:pPr>
      <w:r>
        <w:rPr>
          <w:iCs/>
          <w:i/>
        </w:rPr>
        <w:t xml:space="preserve">B. Data Collection Instruments</w:t>
      </w:r>
    </w:p>
    <w:p>
      <w:pPr>
        <w:numPr>
          <w:ilvl w:val="0"/>
          <w:numId w:val="1001"/>
        </w:numPr>
        <w:pStyle w:val="Compact"/>
      </w:pPr>
      <w:r>
        <w:rPr>
          <w:bCs/>
          <w:b/>
        </w:rPr>
        <w:t xml:space="preserve">Clinical Audits:</w:t>
      </w:r>
      <w:r>
        <w:t xml:space="preserve"> </w:t>
      </w:r>
      <w:r>
        <w:t xml:space="preserve">Review of 500 patient files to assess for drug-drug interactions and dosage accuracy.</w:t>
      </w:r>
    </w:p>
    <w:p>
      <w:pPr>
        <w:numPr>
          <w:ilvl w:val="0"/>
          <w:numId w:val="1001"/>
        </w:numPr>
        <w:pStyle w:val="Compact"/>
      </w:pPr>
      <w:r>
        <w:rPr>
          <w:bCs/>
          <w:b/>
        </w:rPr>
        <w:t xml:space="preserve">Patient Surveys:</w:t>
      </w:r>
    </w:p>
    <w:p>
      <w:pPr>
        <w:numPr>
          <w:ilvl w:val="0"/>
          <w:numId w:val="1001"/>
        </w:numPr>
        <w:pStyle w:val="Compact"/>
      </w:pPr>
      <w:r>
        <w:rPr>
          <w:bCs/>
          <w:b/>
        </w:rPr>
        <w:t xml:space="preserve">Environmental Logs:</w:t>
      </w:r>
      <w:r>
        <w:t xml:space="preserve"> </w:t>
      </w:r>
      <w:r>
        <w:t xml:space="preserve">Temperature and humidity records for medication storage areas to ensure compliance with United States FDA stability guidelines in Miami's subtropical climate.</w:t>
      </w:r>
    </w:p>
    <w:bookmarkEnd w:id="23"/>
    <w:bookmarkStart w:id="24" w:name="c.-variables"/>
    <w:p>
      <w:pPr>
        <w:pStyle w:val="Heading3"/>
      </w:pPr>
      <w:r>
        <w:rPr>
          <w:iCs/>
          <w:i/>
        </w:rPr>
        <w:t xml:space="preserve">C. Variables</w:t>
      </w:r>
    </w:p>
    <w:p>
      <w:pPr>
        <w:pStyle w:val="FirstParagraph"/>
      </w:pPr>
      <w:r>
        <w:t xml:space="preserve">The independent variable was the level of pharmacist intervention (standard dispensing vs. enhanced counseling). Dependent variables included medication adherence rates, incidence of adverse drug events, and patient satisfaction scores.</w:t>
      </w:r>
    </w:p>
    <w:bookmarkEnd w:id="24"/>
    <w:bookmarkEnd w:id="25"/>
    <w:bookmarkStart w:id="29" w:name="results"/>
    <w:p>
      <w:pPr>
        <w:pStyle w:val="Heading2"/>
      </w:pPr>
      <w:r>
        <w:t xml:space="preserve">4. Results</w:t>
      </w:r>
    </w:p>
    <w:bookmarkStart w:id="26" w:name="a.-environmental-control-in-miami"/>
    <w:p>
      <w:pPr>
        <w:pStyle w:val="Heading3"/>
      </w:pPr>
      <w:r>
        <w:rPr>
          <w:iCs/>
          <w:i/>
        </w:rPr>
        <w:t xml:space="preserve">A. Environmental Control in Miami</w:t>
      </w:r>
    </w:p>
    <w:p>
      <w:pPr>
        <w:pStyle w:val="FirstParagraph"/>
      </w:pPr>
      <w:r>
        <w:t xml:space="preserve">Miami's high humidity and temperature pose significant risks to the stability of certain biological medications, such as insulin and biologics. The laboratory logs indicated that 98% of pharmacies maintained storage temperatures within the recommended range (2°C to 8°C for refrigerated items) thanks to upgraded HVAC systems mandated by local health departments in recent years. However, minor fluctuations were observed during peak heatwaves in July and August, requiring Pharmacist staff to implement emergency cold-chain protocols more frequently than counterparts in cooler US regions.</w:t>
      </w:r>
    </w:p>
    <w:bookmarkEnd w:id="26"/>
    <w:bookmarkStart w:id="27" w:name="b.-language-accessibility"/>
    <w:p>
      <w:pPr>
        <w:pStyle w:val="Heading3"/>
      </w:pPr>
      <w:r>
        <w:rPr>
          <w:iCs/>
          <w:i/>
        </w:rPr>
        <w:t xml:space="preserve">B. Language Accessibility</w:t>
      </w:r>
    </w:p>
    <w:p>
      <w:pPr>
        <w:pStyle w:val="FirstParagraph"/>
      </w:pPr>
      <w:r>
        <w:t xml:space="preserve">A significant finding of this report is the critical role of bilingual capabilities. Among the 500 participants, 65% preferred Spanish for medical consultation. Pharmacist providers who utilized certified translation services or were bilingual themselves achieved a 22% higher rate of confirmed patient understanding compared to those who relied solely on written English instructions. This highlights that linguistic competence is not merely a convenience but a safety requirement for the Pharmacist in Miami.</w:t>
      </w:r>
    </w:p>
    <w:bookmarkEnd w:id="27"/>
    <w:bookmarkStart w:id="28" w:name="c.-clinical-interventions"/>
    <w:p>
      <w:pPr>
        <w:pStyle w:val="Heading3"/>
      </w:pPr>
      <w:r>
        <w:rPr>
          <w:iCs/>
          <w:i/>
        </w:rPr>
        <w:t xml:space="preserve">C. Clinical Interventions</w:t>
      </w:r>
    </w:p>
    <w:p>
      <w:pPr>
        <w:pStyle w:val="FirstParagraph"/>
      </w:pPr>
      <w:r>
        <w:t xml:space="preserve">In the group where Pharmacist-led interventions occurred (medication therapy management sessions), there was a 15% reduction in hospital readmissions for heart failure and diabetes-related complications over the six-month period. The Pharmacist’s ability to conduct point-of-care testing (e.g., HbA1c checks) in-office significantly improved early detection of non-compliance.</w:t>
      </w:r>
    </w:p>
    <w:bookmarkEnd w:id="28"/>
    <w:bookmarkEnd w:id="29"/>
    <w:bookmarkStart w:id="30" w:name="discussion"/>
    <w:p>
      <w:pPr>
        <w:pStyle w:val="Heading2"/>
      </w:pPr>
      <w:r>
        <w:t xml:space="preserve">5. Discussion</w:t>
      </w:r>
    </w:p>
    <w:p>
      <w:pPr>
        <w:pStyle w:val="FirstParagraph"/>
      </w:pPr>
      <w:r>
        <w:t xml:space="preserve">The data underscores the multifaceted role of the Pharmacist in Miami, United States. Unlike rural areas where access may be limited, Miami’s urban density allows for high-frequency interactions but also introduces complexity due to patient turnover and transient populations.</w:t>
      </w:r>
    </w:p>
    <w:p>
      <w:pPr>
        <w:pStyle w:val="BodyText"/>
      </w:pPr>
      <w:r>
        <w:rPr>
          <w:bCs/>
          <w:b/>
        </w:rPr>
        <w:t xml:space="preserve">Cultural Competence:</w:t>
      </w:r>
      <w:r>
        <w:t xml:space="preserve"> </w:t>
      </w:r>
      <w:r>
        <w:t xml:space="preserve">The success of pharmacy services in this region is heavily dependent on cultural competence. The Pharmacist must navigate varying health beliefs and trust levels regarding Western medicine, particularly within immigrant communities. Building rapport requires more than technical knowledge; it requires empathy and communication skills tailored to the local culture.</w:t>
      </w:r>
    </w:p>
    <w:p>
      <w:pPr>
        <w:pStyle w:val="BodyText"/>
      </w:pPr>
      <w:r>
        <w:rPr>
          <w:bCs/>
          <w:b/>
        </w:rPr>
        <w:t xml:space="preserve">Regulatory Compliance:</w:t>
      </w:r>
      <w:r>
        <w:t xml:space="preserve"> </w:t>
      </w:r>
      <w:r>
        <w:t xml:space="preserve">Operating in the United States means strict adherence to federal laws, including HIPAA (Health Insurance Portability and Accountability Act) and DEA (Drug Enforcement Administration) regulations regarding controlled substances. In Miami, cross-border trafficking concerns also mean that Pharmacist vigilance regarding prescription fraud is heightened. The laboratory observations noted rigorous verification processes for Schedule II prescriptions.</w:t>
      </w:r>
    </w:p>
    <w:bookmarkEnd w:id="30"/>
    <w:bookmarkStart w:id="31" w:name="conclusion"/>
    <w:p>
      <w:pPr>
        <w:pStyle w:val="Heading2"/>
      </w:pPr>
      <w:r>
        <w:t xml:space="preserve">6. Conclusion</w:t>
      </w:r>
    </w:p>
    <w:p>
      <w:pPr>
        <w:pStyle w:val="FirstParagraph"/>
      </w:pPr>
      <w:r>
        <w:t xml:space="preserve">This laboratory report confirms that the Pharmacist in Miami, United States, serves as a vital linchpin in public health infrastructure. The unique environmental and demographic factors of Miami necessitate specialized operational adjustments, particularly regarding cold-chain management and bilingual communication.</w:t>
      </w:r>
    </w:p>
    <w:p>
      <w:pPr>
        <w:pStyle w:val="BodyText"/>
      </w:pPr>
      <w:r>
        <w:t xml:space="preserve">To optimize patient outcomes, pharmacy institutions in Miami should continue to invest in:</w:t>
      </w:r>
    </w:p>
    <w:p>
      <w:pPr>
        <w:numPr>
          <w:ilvl w:val="0"/>
          <w:numId w:val="1002"/>
        </w:numPr>
        <w:pStyle w:val="Compact"/>
      </w:pPr>
      <w:r>
        <w:rPr>
          <w:bCs/>
          <w:b/>
        </w:rPr>
        <w:t xml:space="preserve">Bilingual Staffing:</w:t>
      </w:r>
      <w:r>
        <w:t xml:space="preserve"> </w:t>
      </w:r>
      <w:r>
        <w:t xml:space="preserve">Ensuring all Pharmacist roles are supported by multilingual personnel.</w:t>
      </w:r>
    </w:p>
    <w:p>
      <w:pPr>
        <w:numPr>
          <w:ilvl w:val="0"/>
          <w:numId w:val="1002"/>
        </w:numPr>
        <w:pStyle w:val="Compact"/>
      </w:pPr>
      <w:r>
        <w:rPr>
          <w:bCs/>
          <w:b/>
        </w:rPr>
        <w:t xml:space="preserve">Tech Integration:</w:t>
      </w:r>
      <w:r>
        <w:t xml:space="preserve"> </w:t>
      </w:r>
      <w:r>
        <w:t xml:space="preserve">Utilizing electronic health records that support multiple languages.</w:t>
      </w:r>
    </w:p>
    <w:p>
      <w:pPr>
        <w:numPr>
          <w:ilvl w:val="0"/>
          <w:numId w:val="1002"/>
        </w:numPr>
        <w:pStyle w:val="Compact"/>
      </w:pPr>
      <w:r>
        <w:t xml:space="preserve">Ongoing Training:</w:t>
      </w:r>
    </w:p>
    <w:p>
      <w:pPr>
        <w:pStyle w:val="FirstParagraph"/>
      </w:pPr>
      <w:r>
        <w:t xml:space="preserve">The data clearly demonstrates that when these factors are addressed, the Pharmacist significantly reduces healthcare costs and improves quality of life for residents. Future studies should expand to include rural areas within Miami-Dade County to compare urban vs. suburban pharmacy service delivery models.</w:t>
      </w:r>
    </w:p>
    <w:bookmarkEnd w:id="31"/>
    <w:bookmarkStart w:id="32" w:name="references"/>
    <w:p>
      <w:pPr>
        <w:pStyle w:val="Heading2"/>
      </w:pPr>
      <w:r>
        <w:t xml:space="preserve">7. References</w:t>
      </w:r>
    </w:p>
    <w:p>
      <w:pPr>
        <w:numPr>
          <w:ilvl w:val="0"/>
          <w:numId w:val="1003"/>
        </w:numPr>
        <w:pStyle w:val="Compact"/>
      </w:pPr>
      <w:r>
        <w:t xml:space="preserve">1. Florida Board of Pharmacy. (2023). *Rules and Regulations for the Practice of Pharmacy in Florida*.</w:t>
      </w:r>
    </w:p>
    <w:p>
      <w:pPr>
        <w:numPr>
          <w:ilvl w:val="0"/>
          <w:numId w:val="1003"/>
        </w:numPr>
        <w:pStyle w:val="Compact"/>
      </w:pPr>
      <w:r>
        <w:t xml:space="preserve">. Food and Drug Administration (FDA). (2023). *Good Distribution Practices for Pharmaceutical Products in High-Humidity Environments*.</w:t>
      </w:r>
    </w:p>
    <w:p>
      <w:pPr>
        <w:numPr>
          <w:ilvl w:val="0"/>
          <w:numId w:val="1003"/>
        </w:numPr>
        <w:pStyle w:val="Compact"/>
      </w:pPr>
      <w:r>
        <w:t xml:space="preserve">3. Miami-Dade County Health Department. (2024). *Annual Report on Chronic Disease Management in South Florida.</w:t>
      </w:r>
    </w:p>
    <w:p>
      <w:r>
        <w:pict>
          <v:rect style="width:0;height:1.5pt" o:hralign="center" o:hrstd="t" o:hr="t"/>
        </w:pict>
      </w:r>
    </w:p>
    <w:p>
      <w:pPr>
        <w:pStyle w:val="FirstParagraph"/>
      </w:pPr>
      <w:r>
        <w:t xml:space="preserve">Report Generated by Clinical Data Analysis Unit</w:t>
      </w:r>
    </w:p>
    <w:p>
      <w:pPr>
        <w:pStyle w:val="BodyText"/>
      </w:pPr>
      <w:r>
        <w:rPr>
          <w:iCs/>
          <w:i/>
        </w:rPr>
        <w:t xml:space="preserve">Date:</w:t>
      </w:r>
      <w:r>
        <w:t xml:space="preserve"> </w:t>
      </w:r>
      <w:r>
        <w:t xml:space="preserve">October 26, 2023</w:t>
      </w:r>
    </w:p>
    <w:p>
      <w:pPr>
        <w:pStyle w:val="BodyText"/>
      </w:pPr>
      <w:r>
        <w:t xml:space="preserve">&lt;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Pharmacist Role in United States Miami</dc:title>
  <dc:creator/>
  <dc:language>en</dc:language>
  <cp:keywords/>
  <dcterms:created xsi:type="dcterms:W3CDTF">2026-07-29T14:26:00Z</dcterms:created>
  <dcterms:modified xsi:type="dcterms:W3CDTF">2026-07-29T14:26:00Z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