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High-Energy</w:t>
      </w:r>
      <w:r>
        <w:t xml:space="preserve"> </w:t>
      </w:r>
      <w:r>
        <w:t xml:space="preserve">Physics</w:t>
      </w:r>
      <w:r>
        <w:t xml:space="preserve"> </w:t>
      </w:r>
      <w:r>
        <w:t xml:space="preserve">Research</w:t>
      </w:r>
      <w:r>
        <w:t xml:space="preserve"> </w:t>
      </w:r>
      <w:r>
        <w:t xml:space="preserve">Initiative</w:t>
      </w:r>
      <w:r>
        <w:t xml:space="preserve"> </w:t>
      </w:r>
      <w:r>
        <w:t xml:space="preserve">in</w:t>
      </w:r>
      <w:r>
        <w:t xml:space="preserve"> </w:t>
      </w:r>
      <w:r>
        <w:t xml:space="preserve">China,</w:t>
      </w:r>
      <w:r>
        <w:t xml:space="preserve"> </w:t>
      </w:r>
      <w:r>
        <w:t xml:space="preserve">Shanghai</w:t>
      </w:r>
    </w:p>
    <w:p>
      <w:pPr>
        <w:pStyle w:val="FirstParagraph"/>
      </w:pPr>
      <w:r>
        <w:rPr>
          <w:bCs/>
          <w:b/>
        </w:rPr>
        <w:t xml:space="preserve">Date:</w:t>
      </w:r>
      <w:r>
        <w:t xml:space="preserve"> </w:t>
      </w:r>
      <w:r>
        <w:t xml:space="preserve">October 15, 2023</w:t>
      </w:r>
    </w:p>
    <w:p>
      <w:pPr>
        <w:pStyle w:val="BodyText"/>
      </w:pPr>
      <w:r>
        <w:rPr>
          <w:bCs/>
          <w:b/>
        </w:rPr>
        <w:t xml:space="preserve">To:</w:t>
      </w:r>
      <w:r>
        <w:t xml:space="preserve"> </w:t>
      </w:r>
      <w:r>
        <w:t xml:space="preserve">Directorate of Advanced Scientific Research, Shanghai Institute for Physics and Technology (SIFT)</w:t>
      </w:r>
    </w:p>
    <w:p>
      <w:pPr>
        <w:pStyle w:val="BodyText"/>
      </w:pPr>
      <w:r>
        <w:t xml:space="preserve">From:: Lead Research Team</w:t>
      </w:r>
    </w:p>
    <w:p>
      <w:r>
        <w:pict>
          <v:rect style="width:0;height:1.5pt" o:hralign="center" o:hrstd="t" o:hr="t"/>
        </w:pict>
      </w:r>
    </w:p>
    <w:bookmarkStart w:id="32" w:name="X29d8897745a420a44eeab74b617ff8000de66b4"/>
    <w:p>
      <w:pPr>
        <w:pStyle w:val="Heading1"/>
      </w:pPr>
      <w:r>
        <w:t xml:space="preserve">Laboratory Report: Fundamental Particle Dynamics and Accelerator Integration in China, Shanghai</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Laboratory Report</w:t>
      </w:r>
      <w:r>
        <w:t xml:space="preserve">China, Shanghai. The primary objective of this study was to analyze high-energy particle collision data within the context of next-generation accelerator technologies. As a designated physicist contributing to this initiative, I have compiled extensive data regarding beam stability, energy efficiency, and theoretical alignment with Standard Model predictions. This report highlights the critical role of advanced instrumentation in</w:t>
      </w:r>
      <w:r>
        <w:t xml:space="preserve"> </w:t>
      </w:r>
      <w:r>
        <w:rPr>
          <w:bCs/>
          <w:b/>
        </w:rPr>
        <w:t xml:space="preserve">China, Shanghai</w:t>
      </w:r>
      <w:r>
        <w:t xml:space="preserve">, and underscores the rigorous methodological standards expected by a professional</w:t>
      </w:r>
      <w:r>
        <w:t xml:space="preserve"> </w:t>
      </w:r>
      <w:r>
        <w:rPr>
          <w:bCs/>
          <w:b/>
        </w:rPr>
        <w:t xml:space="preserve">Physicist</w:t>
      </w:r>
      <w:r>
        <w:t xml:space="preserve">.</w:t>
      </w:r>
    </w:p>
    <w:bookmarkEnd w:id="20"/>
    <w:bookmarkStart w:id="21" w:name="introduction-and-background"/>
    <w:p>
      <w:pPr>
        <w:pStyle w:val="Heading2"/>
      </w:pPr>
      <w:r>
        <w:t xml:space="preserve">2. Introduction and Background</w:t>
      </w:r>
    </w:p>
    <w:p>
      <w:pPr>
        <w:pStyle w:val="FirstParagraph"/>
      </w:pPr>
      <w:r>
        <w:t xml:space="preserve">The field of high-energy physics continues to evolve rapidly, driven by the need for deeper understanding of subatomic interactions. The facility in</w:t>
      </w:r>
      <w:r>
        <w:t xml:space="preserve"> </w:t>
      </w:r>
      <w:r>
        <w:rPr>
          <w:bCs/>
          <w:b/>
        </w:rPr>
        <w:t xml:space="preserve">China, Shanghai</w:t>
      </w:r>
      <w:r>
        <w:t xml:space="preserve">, stands as a beacon of modern scientific infrastructure, equipped with state-of-the-art superconducting magnets and precision detectors. As a</w:t>
      </w:r>
      <w:r>
        <w:t xml:space="preserve"> </w:t>
      </w:r>
      <w:r>
        <w:rPr>
          <w:bCs/>
          <w:b/>
        </w:rPr>
        <w:t xml:space="preserve">Physicist</w:t>
      </w:r>
      <w:r>
        <w:t xml:space="preserve">, it is imperative to acknowledge the historical and contemporary contributions of this region to global science.</w:t>
      </w:r>
    </w:p>
    <w:p>
      <w:pPr>
        <w:pStyle w:val="BodyText"/>
      </w:pPr>
      <w:r>
        <w:t xml:space="preserve">The purpose of this specific experimental run was threefold: first, to calibrate the new cryogenic cooling systems; second, to test the luminosity limits of the upgraded beamline; and third, to gather statistical data on rare decay channels. The environment in</w:t>
      </w:r>
      <w:r>
        <w:t xml:space="preserve"> </w:t>
      </w:r>
      <w:r>
        <w:rPr>
          <w:bCs/>
          <w:b/>
        </w:rPr>
        <w:t xml:space="preserve">China, Shanghai</w:t>
      </w:r>
      <w:r>
        <w:t xml:space="preserve"> </w:t>
      </w:r>
      <w:r>
        <w:t xml:space="preserve">provides a unique collaborative atmosphere where international standards meet local innovation. This report aims to document these findings for peer review and future strategic planning.</w:t>
      </w:r>
    </w:p>
    <w:bookmarkEnd w:id="21"/>
    <w:bookmarkStart w:id="24" w:name="methodology"/>
    <w:p>
      <w:pPr>
        <w:pStyle w:val="Heading2"/>
      </w:pPr>
      <w:r>
        <w:t xml:space="preserve">3. Methodology</w:t>
      </w:r>
    </w:p>
    <w:p>
      <w:pPr>
        <w:pStyle w:val="FirstParagraph"/>
      </w:pPr>
      <w:r>
        <w:t xml:space="preserve">The experimental setup utilized the Synchrotron Radiation Facility located in downtown Shanghai. The procedure began with a systematic calibration of the magnet array, followed by a gradual increase in beam energy from 1 GeV to 3.5 GeV. As a practicing</w:t>
      </w:r>
      <w:r>
        <w:t xml:space="preserve"> </w:t>
      </w:r>
      <w:r>
        <w:rPr>
          <w:bCs/>
          <w:b/>
        </w:rPr>
        <w:t xml:space="preserve">Physicist</w:t>
      </w:r>
      <w:r>
        <w:t xml:space="preserve">, I adhered strictly to safety protocols and quality assurance measures established by the local oversight committee in</w:t>
      </w:r>
      <w:r>
        <w:t xml:space="preserve"> </w:t>
      </w:r>
      <w:r>
        <w:rPr>
          <w:bCs/>
          <w:b/>
        </w:rPr>
        <w:t xml:space="preserve">China, Shanghai</w:t>
      </w:r>
      <w:r>
        <w:t xml:space="preserve">.</w:t>
      </w:r>
    </w:p>
    <w:bookmarkStart w:id="22" w:name="data-acquisition-systems"/>
    <w:p>
      <w:pPr>
        <w:pStyle w:val="Heading3"/>
      </w:pPr>
      <w:r>
        <w:t xml:space="preserve">3.1 Data Acquisition Systems</w:t>
      </w:r>
    </w:p>
    <w:p>
      <w:pPr>
        <w:pStyle w:val="FirstParagraph"/>
      </w:pPr>
      <w:r>
        <w:t xml:space="preserve">Data was collected using silicon strip detectors and calorimeters capable of resolving events with nanosecond precision. The data acquisition rate peaked at 10 kHz during high-intensity bursts. All raw data was logged into the central server cluster located within the facility in</w:t>
      </w:r>
      <w:r>
        <w:t xml:space="preserve"> </w:t>
      </w:r>
      <w:r>
        <w:rPr>
          <w:bCs/>
          <w:b/>
        </w:rPr>
        <w:t xml:space="preserve">China, Shanghai</w:t>
      </w:r>
      <w:r>
        <w:t xml:space="preserve">.</w:t>
      </w:r>
    </w:p>
    <w:bookmarkEnd w:id="22"/>
    <w:bookmarkStart w:id="23" w:name="theoretical-modeling"/>
    <w:p>
      <w:pPr>
        <w:pStyle w:val="Heading3"/>
      </w:pPr>
      <w:r>
        <w:t xml:space="preserve">3.2 Theoretical Modeling</w:t>
      </w:r>
    </w:p>
    <w:p>
      <w:pPr>
        <w:pStyle w:val="FirstParagraph"/>
      </w:pPr>
      <w:r>
        <w:t xml:space="preserve">Simulations were run using Monte Carlo methods to predict background noise and signal signatures. These simulations were compared against real-time data to identify anomalies. This comparative analysis is a hallmark of modern physics, ensuring that the role of the</w:t>
      </w:r>
      <w:r>
        <w:t xml:space="preserve"> </w:t>
      </w:r>
      <w:r>
        <w:rPr>
          <w:bCs/>
          <w:b/>
        </w:rPr>
        <w:t xml:space="preserve">Physicist</w:t>
      </w:r>
      <w:r>
        <w:t xml:space="preserve"> </w:t>
      </w:r>
      <w:r>
        <w:t xml:space="preserve">remains central to interpretation rather than just observation.</w:t>
      </w:r>
    </w:p>
    <w:bookmarkEnd w:id="23"/>
    <w:bookmarkEnd w:id="24"/>
    <w:bookmarkStart w:id="25" w:name="results-and-observations"/>
    <w:p>
      <w:pPr>
        <w:pStyle w:val="Heading2"/>
      </w:pPr>
      <w:r>
        <w:t xml:space="preserve">4. Results and Observations</w:t>
      </w:r>
    </w:p>
    <w:p>
      <w:pPr>
        <w:pStyle w:val="FirstParagraph"/>
      </w:pPr>
      <w:r>
        <w:t xml:space="preserve">The experimental run yielded significant data points that warrant detailed discussion. The following subsections outline the key findings related to beam performance and detector response.</w:t>
      </w:r>
    </w:p>
    <w:p>
      <w:pPr>
        <w:pStyle w:val="BodyText"/>
      </w:pPr>
      <w:r>
        <w:t xml:space="preserve">Metric</w:t>
      </w:r>
    </w:p>
    <w:p>
      <w:pPr>
        <w:pStyle w:val="BodyText"/>
      </w:pPr>
      <w:r>
        <w:t xml:space="preserve">Predicted Value</w:t>
      </w:r>
    </w:p>
    <w:p>
      <w:pPr>
        <w:pStyle w:val="BodyText"/>
      </w:pPr>
      <w:r>
        <w:t xml:space="preserve">Achieved Value</w:t>
      </w:r>
    </w:p>
    <w:p>
      <w:pPr>
        <w:pStyle w:val="BodyText"/>
      </w:pPr>
      <w:r>
        <w:t xml:space="preserve">Status in Shanghai Facility</w:t>
      </w:r>
    </w:p>
    <w:p>
      <w:pPr>
        <w:pStyle w:val="BodyText"/>
      </w:pPr>
      <w:r>
        <w:br/>
      </w:r>
      <w:r>
        <w:br/>
      </w:r>
      <w:r>
        <w:br/>
      </w:r>
    </w:p>
    <w:bookmarkEnd w:id="25"/>
    <w:bookmarkStart w:id="28" w:name="Xd732ddb1deca87c3109b243402d14b570964139"/>
    <w:p>
      <w:pPr>
        <w:pStyle w:val="Heading2"/>
      </w:pPr>
      <w:r>
        <w:t xml:space="preserve">0% of predicted luminosity. The deviation is attributed to thermal fluctuations in the cryogenic system, which have since been corrected by engineering teams in China, Shanghai.</w:t>
      </w:r>
    </w:p>
    <w:bookmarkStart w:id="26" w:name="beam-stability"/>
    <w:p>
      <w:pPr>
        <w:pStyle w:val="Heading3"/>
      </w:pPr>
      <w:r>
        <w:t xml:space="preserve">4.1 Beam Stability</w:t>
      </w:r>
    </w:p>
    <w:p>
      <w:pPr>
        <w:pStyle w:val="FirstParagraph"/>
      </w:pPr>
      <w:r>
        <w:t xml:space="preserve">The beam remained stable for 95% of the operational window. Minor instabilities were observed at energy levels above 2 GeV, requiring real-time adjustments by the control room team. These fluctuations were well within acceptable tolerances but highlight areas for future technical improvement in</w:t>
      </w:r>
      <w:r>
        <w:t xml:space="preserve"> </w:t>
      </w:r>
      <w:r>
        <w:rPr>
          <w:bCs/>
          <w:b/>
        </w:rPr>
        <w:t xml:space="preserve">China, Shanghai</w:t>
      </w:r>
      <w:r>
        <w:t xml:space="preserve">.</w:t>
      </w:r>
    </w:p>
    <w:bookmarkEnd w:id="26"/>
    <w:bookmarkStart w:id="27" w:name="detector-efficiency"/>
    <w:p>
      <w:pPr>
        <w:pStyle w:val="Heading3"/>
      </w:pPr>
      <w:r>
        <w:t xml:space="preserve">4.2 Detector Efficiency</w:t>
      </w:r>
    </w:p>
    <w:p>
      <w:pPr>
        <w:pStyle w:val="FirstParagraph"/>
      </w:pPr>
      <w:r>
        <w:t xml:space="preserve">The silicon strip detectors performed exceptionally well, showing a charge collection efficiency of 98%. This high efficiency is crucial for a</w:t>
      </w:r>
      <w:r>
        <w:t xml:space="preserve"> </w:t>
      </w:r>
      <w:r>
        <w:rPr>
          <w:bCs/>
          <w:b/>
        </w:rPr>
        <w:t xml:space="preserve">Physicist</w:t>
      </w:r>
      <w:r>
        <w:t xml:space="preserve">, as it reduces the statistical error in final calculations regarding particle interactions.</w:t>
      </w:r>
    </w:p>
    <w:bookmarkEnd w:id="27"/>
    <w:bookmarkEnd w:id="28"/>
    <w:bookmarkStart w:id="29" w:name="discussion"/>
    <w:p>
      <w:pPr>
        <w:pStyle w:val="Heading2"/>
      </w:pPr>
      <w:r>
        <w:t xml:space="preserve">5. Discussion</w:t>
      </w:r>
    </w:p>
    <w:p>
      <w:pPr>
        <w:pStyle w:val="FirstParagraph"/>
      </w:pPr>
      <w:r>
        <w:t xml:space="preserve">The results obtained from this laboratory session confirm the viability of the current accelerator design. However, they also suggest that further optimization is required to achieve nominal luminosity levels consistently. The collaboration between theoretical physicists and engineering teams in</w:t>
      </w:r>
      <w:r>
        <w:t xml:space="preserve"> </w:t>
      </w:r>
      <w:r>
        <w:rPr>
          <w:bCs/>
          <w:b/>
        </w:rPr>
        <w:t xml:space="preserve">China, Shanghai</w:t>
      </w:r>
      <w:r>
        <w:t xml:space="preserve"> </w:t>
      </w:r>
      <w:r>
        <w:t xml:space="preserve">has proven effective in resolving technical challenges rapidly.</w:t>
      </w:r>
    </w:p>
    <w:p>
      <w:pPr>
        <w:pStyle w:val="BodyText"/>
      </w:pPr>
      <w:r>
        <w:t xml:space="preserve">It is important to note that the role of a</w:t>
      </w:r>
      <w:r>
        <w:t xml:space="preserve"> </w:t>
      </w:r>
      <w:r>
        <w:rPr>
          <w:bCs/>
          <w:b/>
        </w:rPr>
        <w:t xml:space="preserve">Physicist</w:t>
      </w:r>
      <w:r>
        <w:t xml:space="preserve"> </w:t>
      </w:r>
      <w:r>
        <w:t xml:space="preserve">extends beyond data collection; it involves critical analysis of environmental factors. In this case, the ambient temperature control in the facility played a significant role. The infrastructure in</w:t>
      </w:r>
      <w:r>
        <w:t xml:space="preserve"> </w:t>
      </w:r>
      <w:r>
        <w:rPr>
          <w:bCs/>
          <w:b/>
        </w:rPr>
        <w:t xml:space="preserve">China, Shanghai</w:t>
      </w:r>
      <w:r>
        <w:t xml:space="preserve">, while advanced, must continue to adapt to increasing energy demands without compromising stability.</w:t>
      </w:r>
    </w:p>
    <w:bookmarkEnd w:id="29"/>
    <w:bookmarkStart w:id="30" w:name="conclusion"/>
    <w:p>
      <w:pPr>
        <w:pStyle w:val="Heading2"/>
      </w:pPr>
      <w:r>
        <w:t xml:space="preserve">6. Conclusion</w:t>
      </w:r>
    </w:p>
    <w:p>
      <w:pPr>
        <w:pStyle w:val="FirstParagraph"/>
      </w:pPr>
      <w:r>
        <w:t xml:space="preserve">In conclusion, this laboratory report confirms that the experimental parameters set for the recent run were largely successful. The facility in</w:t>
      </w:r>
      <w:r>
        <w:t xml:space="preserve"> </w:t>
      </w:r>
      <w:r>
        <w:rPr>
          <w:bCs/>
          <w:b/>
        </w:rPr>
        <w:t xml:space="preserve">China, Shanghai</w:t>
      </w:r>
      <w:r>
        <w:t xml:space="preserve">, continues to demonstrate its capability as a premier hub for high-energy physics research. For any</w:t>
      </w:r>
      <w:r>
        <w:t xml:space="preserve"> </w:t>
      </w:r>
      <w:r>
        <w:rPr>
          <w:bCs/>
          <w:b/>
        </w:rPr>
        <w:t xml:space="preserve">Physicist</w:t>
      </w:r>
      <w:r>
        <w:t xml:space="preserve">, working within this environment offers both challenges and opportunities for groundbreaking discovery.</w:t>
      </w:r>
    </w:p>
    <w:p>
      <w:pPr>
        <w:pStyle w:val="BodyText"/>
      </w:pPr>
      <w:r>
        <w:t xml:space="preserve">We recommend continuing the current trajectory of technological upgrades while maintaining strict adherence to safety and calibration protocols. Future reports will focus on long-term stability tests and potential upgrades to the detector array.</w:t>
      </w:r>
    </w:p>
    <w:bookmarkEnd w:id="30"/>
    <w:bookmarkStart w:id="31" w:name="references"/>
    <w:p>
      <w:pPr>
        <w:pStyle w:val="Heading2"/>
      </w:pPr>
      <w:r>
        <w:t xml:space="preserve">7. References</w:t>
      </w:r>
    </w:p>
    <w:p>
      <w:pPr>
        <w:pStyle w:val="FirstParagraph"/>
      </w:pPr>
      <w:r>
        <w:t xml:space="preserve">- Shanghai Institute for Physics and Technology Internal Documentation, 2023.</w:t>
      </w:r>
    </w:p>
    <w:p>
      <w:pPr>
        <w:pStyle w:val="BodyText"/>
      </w:pPr>
      <w:r>
        <w:br/>
      </w:r>
    </w:p>
    <w:p>
      <w:pPr>
        <w:pStyle w:val="BodyText"/>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High-Energy Physics Research Initiative in China, Shanghai</dc:title>
  <dc:creator/>
  <dc:language>en</dc:language>
  <cp:keywords/>
  <dcterms:created xsi:type="dcterms:W3CDTF">2026-07-29T12:15:14Z</dcterms:created>
  <dcterms:modified xsi:type="dcterms:W3CDTF">2026-07-29T12:15:14Z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