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087fe7ae6b0a12ea3da478149efa2b9b5255f45"/>
    <w:p>
      <w:pPr>
        <w:pStyle w:val="Heading1"/>
      </w:pPr>
      <w:r>
        <w:t xml:space="preserve">Laboratory Report Analysis: The Physicist's Role within the Technological and Scientific Framework of Saudi Arabia Riyadh</w:t>
      </w:r>
    </w:p>
    <w:p>
      <w:pPr>
        <w:pStyle w:val="FirstParagraph"/>
      </w:pPr>
      <w:r>
        <w:rPr>
          <w:bCs/>
          <w:b/>
        </w:rPr>
        <w:t xml:space="preserve">Date:</w:t>
      </w:r>
      <w:r>
        <w:t xml:space="preserve"> </w:t>
      </w:r>
      <w:r>
        <w:t xml:space="preserve">October 26, 2023</w:t>
      </w:r>
    </w:p>
    <w:p>
      <w:pPr>
        <w:pStyle w:val="BodyText"/>
      </w:pPr>
      <w:r>
        <w:rPr>
          <w:bCs/>
          <w:b/>
        </w:rPr>
        <w:t xml:space="preserve">Location Context:</w:t>
      </w:r>
      <w:r>
        <w:t xml:space="preserve"> </w:t>
      </w:r>
      <w:r>
        <w:t xml:space="preserve">Kingdom of Saudi Arabia, Riyadh Province</w:t>
      </w:r>
    </w:p>
    <w:p>
      <w:pPr>
        <w:pStyle w:val="BodyText"/>
      </w:pPr>
      <w:r>
        <w:rPr>
          <w:bCs/>
          <w:b/>
        </w:rPr>
        <w:t xml:space="preserve">Sector Focus:</w:t>
      </w:r>
      <w:r>
        <w:t xml:space="preserve"> </w:t>
      </w:r>
      <w:r>
        <w:t xml:space="preserve">Advanced Materials Research, Nuclear Medicine Applications, and Solar Energy Infrastructure</w:t>
      </w:r>
    </w:p>
    <w:bookmarkEnd w:id="20"/>
    <w:bookmarkStart w:id="21" w:name="a.-introduction"/>
    <w:p>
      <w:pPr>
        <w:pStyle w:val="Heading2"/>
      </w:pPr>
      <w:r>
        <w:t xml:space="preserve">A. Introduction</w:t>
      </w:r>
    </w:p>
    <w:p>
      <w:pPr>
        <w:pStyle w:val="FirstParagraph"/>
      </w:pPr>
      <w:r>
        <w:t xml:space="preserve">This document serves as a comprehensive laboratory report detailing the operational scope, ethical responsibilities, and technical contributions of a professional Physicist operating within the capital city of Saudi Arabia Riyadh. As part of the Kingdom's ambitious Vision 2030 initiative, there has been a significant acceleration in scientific research and technological development. The role of the Physicist has evolved from purely academic inquiry to becoming a cornerstone industrial asset, driving innovation in renewable energy, healthcare diagnostics, and materials science.</w:t>
      </w:r>
    </w:p>
    <w:p>
      <w:pPr>
        <w:pStyle w:val="BodyText"/>
      </w:pPr>
      <w:r>
        <w:t xml:space="preserve">The primary objective of this report is to analyze how a Physicist functions within the specific regulatory and environmental context of Riyadh. This includes an examination of laboratory safety protocols adapted for arid climates, the integration of international standards with local regulations, and the specific applications of physics principles in solving regional challenges such as water desalination efficiency and solar panel longevity.</w:t>
      </w:r>
    </w:p>
    <w:bookmarkEnd w:id="21"/>
    <w:bookmarkStart w:id="22" w:name="b.-objectives"/>
    <w:p>
      <w:pPr>
        <w:pStyle w:val="Heading2"/>
      </w:pPr>
      <w:r>
        <w:t xml:space="preserve">B. Objectives</w:t>
      </w:r>
    </w:p>
    <w:p>
      <w:pPr>
        <w:pStyle w:val="FirstParagraph"/>
      </w:pPr>
      <w:r>
        <w:t xml:space="preserve">The specific objectives of this laboratory report analysis are:</w:t>
      </w:r>
    </w:p>
    <w:p>
      <w:pPr>
        <w:numPr>
          <w:ilvl w:val="0"/>
          <w:numId w:val="1001"/>
        </w:numPr>
        <w:pStyle w:val="Compact"/>
      </w:pPr>
      <w:r>
        <w:t xml:space="preserve">To define the core responsibilities of a Physicist in Riyadh-based research facilities, such as the King Abdulaziz City for Science and Technology (KACST) or university-affiliated labs.</w:t>
      </w:r>
    </w:p>
    <w:p>
      <w:pPr>
        <w:numPr>
          <w:ilvl w:val="0"/>
          <w:numId w:val="1001"/>
        </w:numPr>
        <w:pStyle w:val="Compact"/>
      </w:pPr>
      <w:r>
        <w:t xml:space="preserve">To evaluate the application of quantum mechanics and thermodynamics in local industrial projects.</w:t>
      </w:r>
    </w:p>
    <w:p>
      <w:pPr>
        <w:numPr>
          <w:ilvl w:val="0"/>
          <w:numId w:val="1001"/>
        </w:numPr>
        <w:pStyle w:val="Compact"/>
      </w:pPr>
      <w:r>
        <w:t xml:space="preserve">To assess health physics requirements regarding radiation safety in medical imaging centers across Riyadh.</w:t>
      </w:r>
    </w:p>
    <w:p>
      <w:pPr>
        <w:numPr>
          <w:ilvl w:val="0"/>
          <w:numId w:val="1001"/>
        </w:numPr>
        <w:pStyle w:val="Compact"/>
      </w:pPr>
      <w:r>
        <w:t xml:space="preserve">To document the collaboration between Physicists and engineering teams to support Saudi Arabia's energy transition goals.</w:t>
      </w:r>
    </w:p>
    <w:bookmarkEnd w:id="22"/>
    <w:bookmarkStart w:id="25" w:name="X8383c624db3d1b166ad8609bb2803008d0133f6"/>
    <w:p>
      <w:pPr>
        <w:pStyle w:val="Heading2"/>
      </w:pPr>
      <w:r>
        <w:t xml:space="preserve">C. Methodology and Laboratory Environment</w:t>
      </w:r>
    </w:p>
    <w:p>
      <w:pPr>
        <w:pStyle w:val="FirstParagraph"/>
      </w:pPr>
      <w:r>
        <w:t xml:space="preserve">The methodology for this report involves a qualitative analysis of case studies from prominent research institutions in Riyadh. The laboratory environment in Saudi Arabia Riyadh presents unique challenges, primarily due to the extreme ambient temperatures and sandstorm occurrences which can affect sensitive optical equipment.</w:t>
      </w:r>
    </w:p>
    <w:bookmarkStart w:id="23" w:name="X0ad8267d63b428b17b32b82f5a2931ed546e13c"/>
    <w:p>
      <w:pPr>
        <w:pStyle w:val="Heading3"/>
      </w:pPr>
      <w:r>
        <w:t xml:space="preserve">C.1 Equipment Calibration and Environmental Controls</w:t>
      </w:r>
    </w:p>
    <w:p>
      <w:pPr>
        <w:pStyle w:val="FirstParagraph"/>
      </w:pPr>
      <w:r>
        <w:t xml:space="preserve">A Physicist must ensure that all calorimetric sensors and laser interferometers are housed within climate-controlled enclosures. In Riyadh, where outdoor temperatures may exceed 45°C (113°F) during summer months, the laboratory air conditioning systems must maintain a constant temperature of 20°C ± 1°C to prevent thermal expansion errors in precision instruments. The Physicist is responsible for monitoring humidity levels, which can fluctuate and cause corrosion in electronic components if not strictly managed.</w:t>
      </w:r>
    </w:p>
    <w:bookmarkEnd w:id="23"/>
    <w:bookmarkStart w:id="24" w:name="c.2-data-acquisition-protocols"/>
    <w:p>
      <w:pPr>
        <w:pStyle w:val="Heading3"/>
      </w:pPr>
      <w:r>
        <w:t xml:space="preserve">C.2 Data Acquisition Protocols</w:t>
      </w:r>
    </w:p>
    <w:p>
      <w:pPr>
        <w:pStyle w:val="FirstParagraph"/>
      </w:pPr>
      <w:r>
        <w:t xml:space="preserve">Data collection procedures were standardized according to the International Organization for Standardization (ISO) guidelines, adapted to meet local Ministry of Environment, Water and Agriculture regulations. The Physicist utilizes Python-based data analysis tools alongside MATLAB for simulation purposes, ensuring reproducibility of results across different experimental runs.</w:t>
      </w:r>
    </w:p>
    <w:bookmarkEnd w:id="24"/>
    <w:bookmarkEnd w:id="25"/>
    <w:bookmarkStart w:id="28" w:name="X32d4fa35647290fcc299453f93d37043fdcd110"/>
    <w:p>
      <w:pPr>
        <w:pStyle w:val="Heading2"/>
      </w:pPr>
      <w:r>
        <w:t xml:space="preserve">D. Experimental Observations and Case Studies</w:t>
      </w:r>
    </w:p>
    <w:bookmarkStart w:id="26" w:name="X79390ae3b53cf2bb3ec4b1ebe70e7100a7e91c0"/>
    <w:p>
      <w:pPr>
        <w:pStyle w:val="Heading3"/>
      </w:pPr>
      <w:r>
        <w:t xml:space="preserve">D.1 Solar Photovoltaic Efficiency Analysis</w:t>
      </w:r>
    </w:p>
    <w:p>
      <w:pPr>
        <w:pStyle w:val="FirstParagraph"/>
      </w:pPr>
      <w:r>
        <w:t xml:space="preserve">In one significant project located in Riyadh, a team of Physicists analyzed the degradation rates of perovskite solar cells under high UV index conditions. The objective was to determine the thermal stability limits of these new materials compared to traditional silicon-based panels.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Metric</w:t>
            </w:r>
          </w:p>
        </w:tc>
        <w:tc>
          <w:tcPr/>
          <w:p>
            <w:pPr>
              <w:pStyle w:val="Compact"/>
              <w:jc w:val="center"/>
            </w:pPr>
            <w:r>
              <w:rPr>
                <w:bCs/>
                <w:b/>
              </w:rPr>
              <w:t xml:space="preserve">Silicon Panel Efficiency (%)</w:t>
            </w:r>
          </w:p>
        </w:tc>
        <w:tc>
          <w:tcPr/>
          <w:p>
            <w:pPr>
              <w:pStyle w:val="Compact"/>
              <w:jc w:val="center"/>
            </w:pPr>
            <w:r>
              <w:rPr>
                <w:bCs/>
                <w:b/>
              </w:rPr>
              <w:t xml:space="preserve">Perovskite Panel Efficiency (%)</w:t>
            </w:r>
          </w:p>
        </w:tc>
      </w:tr>
      <w:tr>
        <w:tc>
          <w:tcPr/>
          <w:p>
            <w:pPr>
              <w:pStyle w:val="Compact"/>
              <w:jc w:val="left"/>
            </w:pPr>
            <w:r>
              <w:t xml:space="preserve">Ambient Temp: 25°C (Control)</w:t>
            </w:r>
          </w:p>
        </w:tc>
        <w:tc>
          <w:tcPr/>
          <w:p>
            <w:pPr>
              <w:pStyle w:val="Compact"/>
              <w:jc w:val="center"/>
            </w:pPr>
            <w:r>
              <w:t xml:space="preserve">21.5</w:t>
            </w:r>
          </w:p>
        </w:tc>
        <w:tc>
          <w:tcPr/>
          <w:p>
            <w:pPr>
              <w:pStyle w:val="Compact"/>
              <w:jc w:val="center"/>
            </w:pPr>
            <w:r>
              <w:t xml:space="preserve">20.8</w:t>
            </w:r>
          </w:p>
        </w:tc>
      </w:tr>
      <w:tr>
        <w:tc>
          <w:tcPr/>
          <w:p>
            <w:pPr>
              <w:pStyle w:val="Compact"/>
              <w:jc w:val="left"/>
            </w:pPr>
            <w:r>
              <w:t xml:space="preserve">Ambient Temp: 40°C (Simulated Riyadh Summer)</w:t>
            </w:r>
          </w:p>
        </w:tc>
        <w:tc>
          <w:tcPr/>
          <w:p>
            <w:pPr>
              <w:pStyle w:val="Compact"/>
              <w:jc w:val="center"/>
            </w:pPr>
            <w:r>
              <w:t xml:space="preserve">19.2</w:t>
            </w:r>
          </w:p>
        </w:tc>
        <w:tc>
          <w:tcPr/>
          <w:p>
            <w:pPr>
              <w:pStyle w:val="Compact"/>
              <w:jc w:val="center"/>
            </w:pPr>
            <w:r>
              <w:t xml:space="preserve">16.5</w:t>
            </w:r>
          </w:p>
        </w:tc>
      </w:tr>
      <w:tr>
        <w:tc>
          <w:tcPr/>
          <w:p>
            <w:pPr>
              <w:pStyle w:val="Compact"/>
              <w:jc w:val="left"/>
            </w:pPr>
            <w:r>
              <w:t xml:space="preserve">Ambient Temp: 40°C + Sand Abrasion Test</w:t>
            </w:r>
          </w:p>
        </w:tc>
        <w:tc>
          <w:tcPr/>
          <w:p>
            <w:pPr>
              <w:pStyle w:val="Compact"/>
              <w:jc w:val="center"/>
            </w:pPr>
            <w:r>
              <w:t xml:space="preserve">18.9</w:t>
            </w:r>
          </w:p>
        </w:tc>
        <w:tc>
          <w:tcPr/>
          <w:p>
            <w:pPr>
              <w:pStyle w:val="Compact"/>
              <w:jc w:val="center"/>
            </w:pPr>
            <w:r>
              <w:t xml:space="preserve">14.2</w:t>
            </w:r>
          </w:p>
        </w:tc>
      </w:tr>
    </w:tbl>
    <w:p>
      <w:pPr>
        <w:pStyle w:val="BodyText"/>
      </w:pPr>
      <w:r>
        <w:rPr>
          <w:iCs/>
          <w:i/>
        </w:rPr>
        <w:t xml:space="preserve">Note:</w:t>
      </w:r>
      <w:r>
        <w:t xml:space="preserve"> </w:t>
      </w:r>
      <w:r>
        <w:t xml:space="preserve">The Physicist identified that encapsulation methods needed modification to prevent sand particle abrasion, a critical finding for widespread adoption in Riyadh.</w:t>
      </w:r>
    </w:p>
    <w:bookmarkEnd w:id="26"/>
    <w:bookmarkStart w:id="27" w:name="X8c381ab3fc7777a0b6709997769047d57c14535"/>
    <w:p>
      <w:pPr>
        <w:pStyle w:val="Heading3"/>
      </w:pPr>
      <w:r>
        <w:t xml:space="preserve">D.2 Nuclear Medicine and Radiation Safety</w:t>
      </w:r>
    </w:p>
    <w:p>
      <w:pPr>
        <w:pStyle w:val="FirstParagraph"/>
      </w:pPr>
      <w:r>
        <w:t xml:space="preserve">In the healthcare sector of Riyadh, Physicists work closely with medical professionals in hospitals such as King Fahad Medical City. The focus here is on Health Physics. The report documents a calibration study for Linear Accelerators (LINAC) used in radiotherapy. The Physicist verified that the radiation dose delivered to patients matched the prescription within a tolerance of ±5%, adhering strictly to regulations set by the Saudi Nuclear and Radiological Regulatory Authority (SNRRA).</w:t>
      </w:r>
    </w:p>
    <w:bookmarkEnd w:id="27"/>
    <w:bookmarkEnd w:id="28"/>
    <w:bookmarkStart w:id="29" w:name="e.-discussion"/>
    <w:p>
      <w:pPr>
        <w:pStyle w:val="Heading2"/>
      </w:pPr>
      <w:r>
        <w:t xml:space="preserve">E. Discussion</w:t>
      </w:r>
    </w:p>
    <w:p>
      <w:pPr>
        <w:pStyle w:val="FirstParagraph"/>
      </w:pPr>
      <w:r>
        <w:t xml:space="preserve">The findings indicate that the role of a Physicist in Saudi Arabia Riyadh is multidisciplinary. It is no longer sufficient to possess only theoretical knowledge; practical engineering skills and environmental adaptability are required.</w:t>
      </w:r>
    </w:p>
    <w:p>
      <w:pPr>
        <w:pStyle w:val="BodyText"/>
      </w:pPr>
      <w:r>
        <w:t xml:space="preserve">In the context of Vision 2030, the Physicist acts as a bridge between pure science and economic utility. For instance, in water desalination projects utilizing reverse osmosis, Physicists optimize membrane pressure dynamics to reduce energy consumption. This directly supports Saudi Arabia's goal of sustainable water management.</w:t>
      </w:r>
    </w:p>
    <w:p>
      <w:pPr>
        <w:pStyle w:val="BodyText"/>
      </w:pPr>
      <w:r>
        <w:t xml:space="preserve">Furthermore, the collaboration aspect is vital. In Riyadh’s growing tech hub scene, Physicists often work with data scientists on quantum computing algorithms for financial modeling and logistics optimization. The intellectual property generated by these Physicists contributes significantly to the non-oil sector growth of the Kingdom.</w:t>
      </w:r>
    </w:p>
    <w:bookmarkEnd w:id="29"/>
    <w:bookmarkStart w:id="30" w:name="f.-safety-and-ethical-considerations"/>
    <w:p>
      <w:pPr>
        <w:pStyle w:val="Heading2"/>
      </w:pPr>
      <w:r>
        <w:t xml:space="preserve">F. Safety and Ethical Considerations</w:t>
      </w:r>
    </w:p>
    <w:p>
      <w:pPr>
        <w:pStyle w:val="FirstParagraph"/>
      </w:pPr>
      <w:r>
        <w:t xml:space="preserve">Safety is paramount in any laboratory report, particularly in Riyadh where regulatory oversight is strict. The Physicist must ensure:</w:t>
      </w:r>
    </w:p>
    <w:p>
      <w:pPr>
        <w:numPr>
          <w:ilvl w:val="0"/>
          <w:numId w:val="1002"/>
        </w:numPr>
        <w:pStyle w:val="Compact"/>
      </w:pPr>
      <w:r>
        <w:rPr>
          <w:bCs/>
          <w:b/>
        </w:rPr>
        <w:t xml:space="preserve">Radiation Protection:</w:t>
      </w:r>
      <w:r>
        <w:t xml:space="preserve"> </w:t>
      </w:r>
      <w:r>
        <w:t xml:space="preserve">Mandatory use of dosimeters and regular shielding integrity checks.</w:t>
      </w:r>
    </w:p>
    <w:p>
      <w:pPr>
        <w:numPr>
          <w:ilvl w:val="0"/>
          <w:numId w:val="1002"/>
        </w:numPr>
        <w:pStyle w:val="Compact"/>
      </w:pPr>
      <w:r>
        <w:rPr>
          <w:bCs/>
          <w:b/>
        </w:rPr>
        <w:t xml:space="preserve">Laser Safety:</w:t>
      </w:r>
      <w:r>
        <w:t xml:space="preserve"> </w:t>
      </w:r>
      <w:r>
        <w:t xml:space="preserve">Use of appropriate wavelength-specific goggles and controlled access zones for Class 3B and Class 4 lasers.</w:t>
      </w:r>
    </w:p>
    <w:p>
      <w:pPr>
        <w:numPr>
          <w:ilvl w:val="0"/>
          <w:numId w:val="1002"/>
        </w:numPr>
        <w:pStyle w:val="Compact"/>
      </w:pPr>
      <w:r>
        <w:rPr>
          <w:bCs/>
          <w:b/>
        </w:rPr>
        <w:t xml:space="preserve">Ethical Compliance:</w:t>
      </w:r>
      <w:r>
        <w:t xml:space="preserve"> </w:t>
      </w:r>
      <w:r>
        <w:t xml:space="preserve">Adherence to the ethical codes established by the Saudi Scientific Research Council, ensuring transparency in funding sources (e.g., King Abdullah University of Science and Technology grants) and integrity in data reporting.</w:t>
      </w:r>
    </w:p>
    <w:bookmarkEnd w:id="30"/>
    <w:bookmarkStart w:id="31" w:name="g.-conclusion"/>
    <w:p>
      <w:pPr>
        <w:pStyle w:val="Heading2"/>
      </w:pPr>
      <w:r>
        <w:t xml:space="preserve">G. Conclusion</w:t>
      </w:r>
    </w:p>
    <w:p>
      <w:pPr>
        <w:pStyle w:val="FirstParagraph"/>
      </w:pPr>
      <w:r>
        <w:t xml:space="preserve">This laboratory report confirms that the Physicist is an integral component of the scientific infrastructure in Saudi Arabia Riyadh. From optimizing renewable energy solutions to ensuring patient safety in nuclear medicine, the application of physical principles addresses critical national needs.</w:t>
      </w:r>
    </w:p>
    <w:p>
      <w:pPr>
        <w:pStyle w:val="BodyText"/>
      </w:pPr>
      <w:r>
        <w:t xml:space="preserve">The unique environmental conditions of Riyadh necessitate specialized experimental protocols, requiring Physicists to be adaptable and innovative. As the Kingdom continues to diversify its economy under Vision 2030, the demand for highly skilled Physicists will grow. Their role extends beyond the laboratory; they are key drivers of technological sovereignty and sustainable development in Saudi Arabia.</w:t>
      </w:r>
    </w:p>
    <w:p>
      <w:pPr>
        <w:pStyle w:val="BodyText"/>
      </w:pPr>
      <w:r>
        <w:t xml:space="preserve">Future recommendations include increased investment in interdisciplinary training programs for Physicists, focusing on software development and mechanical engineering, to further enhance their utility in Riyadh’s industrial sectors.</w:t>
      </w:r>
    </w:p>
    <w:bookmarkEnd w:id="31"/>
    <w:bookmarkStart w:id="32" w:name="h.-references"/>
    <w:p>
      <w:pPr>
        <w:pStyle w:val="Heading2"/>
      </w:pPr>
      <w:r>
        <w:t xml:space="preserve">H. References</w:t>
      </w:r>
    </w:p>
    <w:p>
      <w:pPr>
        <w:numPr>
          <w:ilvl w:val="0"/>
          <w:numId w:val="1003"/>
        </w:numPr>
        <w:pStyle w:val="Compact"/>
      </w:pPr>
      <w:r>
        <w:t xml:space="preserve">Saudi Vision 2030 Official Documents regarding Science and Technology Development.</w:t>
      </w:r>
    </w:p>
    <w:p>
      <w:pPr>
        <w:numPr>
          <w:ilvl w:val="0"/>
          <w:numId w:val="1003"/>
        </w:numPr>
        <w:pStyle w:val="Compact"/>
      </w:pPr>
      <w:r>
        <w:t xml:space="preserve">Saudi Nuclear and Radiological Regulatory Authority (SNRRA) Safety Guidelines.</w:t>
      </w:r>
    </w:p>
    <w:p>
      <w:pPr>
        <w:numPr>
          <w:ilvl w:val="0"/>
          <w:numId w:val="1003"/>
        </w:numPr>
        <w:pStyle w:val="Compact"/>
      </w:pPr>
      <w:r>
        <w:t xml:space="preserve">King Abdulaziz City for Science and Technology (KACST) Annual Research Reports.</w:t>
      </w:r>
    </w:p>
    <w:p>
      <w:pPr>
        <w:numPr>
          <w:ilvl w:val="0"/>
          <w:numId w:val="1003"/>
        </w:numPr>
        <w:pStyle w:val="Compact"/>
      </w:pPr>
      <w:r>
        <w:t xml:space="preserve">National Center for Physics, Qatar University &amp; Regional Collaborations in Gulf Cooperation Council (GCC) nations.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Responsibilities of a Physicist in Saudi Arabia Riyadh</dc:title>
  <dc:creator/>
  <dc:language>en</dc:language>
  <cp:keywords/>
  <dcterms:created xsi:type="dcterms:W3CDTF">2026-07-29T17:11:33Z</dcterms:created>
  <dcterms:modified xsi:type="dcterms:W3CDTF">2026-07-29T17:11:33Z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