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Physiotherapist</w:t>
      </w:r>
      <w:r>
        <w:t xml:space="preserve"> </w:t>
      </w:r>
      <w:r>
        <w:t xml:space="preserve">Evaluation</w:t>
      </w:r>
      <w:r>
        <w:t xml:space="preserve"> </w:t>
      </w:r>
      <w:r>
        <w:t xml:space="preserve">and</w:t>
      </w:r>
      <w:r>
        <w:t xml:space="preserve"> </w:t>
      </w:r>
      <w:r>
        <w:t xml:space="preserve">Rehabilitation</w:t>
      </w:r>
      <w:r>
        <w:t xml:space="preserve"> </w:t>
      </w:r>
      <w:r>
        <w:t xml:space="preserve">Protocol</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08577c0b4487ce238544c4e00750505753cb8d8"/>
    <w:p>
      <w:pPr>
        <w:pStyle w:val="Heading1"/>
      </w:pPr>
      <w:r>
        <w:t xml:space="preserve">Clinical Lab Report: Physiotherapist Evaluation and Rehabilitation Protocol Implementation in United States San Francisco</w:t>
      </w:r>
    </w:p>
    <w:bookmarkStart w:id="20" w:name="abstract-introduction"/>
    <w:p>
      <w:pPr>
        <w:pStyle w:val="Heading2"/>
      </w:pPr>
      <w:r>
        <w:t xml:space="preserve">Abstract / Introduction</w:t>
      </w:r>
    </w:p>
    <w:p>
      <w:pPr>
        <w:pStyle w:val="FirstParagraph"/>
      </w:pPr>
      <w:r>
        <w:t xml:space="preserve">This Lab Report documents the systematic clinical evaluation, intervention monitoring, and outcome analysis conducted by a licensed</w:t>
      </w:r>
      <w:r>
        <w:t xml:space="preserve"> </w:t>
      </w:r>
      <w:r>
        <w:rPr>
          <w:bCs/>
          <w:b/>
        </w:rPr>
        <w:t xml:space="preserve">Physiotherapist</w:t>
      </w:r>
      <w:r>
        <w:t xml:space="preserve"> </w:t>
      </w:r>
      <w:r>
        <w:t xml:space="preserve">operating within the metropolitan healthcare framework of</w:t>
      </w:r>
      <w:r>
        <w:t xml:space="preserve"> </w:t>
      </w:r>
      <w:r>
        <w:rPr>
          <w:bCs/>
          <w:b/>
        </w:rPr>
        <w:t xml:space="preserve">United States San Francisco</w:t>
      </w:r>
      <w:r>
        <w:t xml:space="preserve">. While traditionally associated with biomedical research, the structured methodology of a Lab Report has been successfully adapted to physiotherapy documentation to ensure reproducibility, regulatory compliance, and evidence-based practice standards across California. The clinical environment in</w:t>
      </w:r>
      <w:r>
        <w:t xml:space="preserve"> </w:t>
      </w:r>
      <w:r>
        <w:rPr>
          <w:bCs/>
          <w:b/>
        </w:rPr>
        <w:t xml:space="preserve">United States San FranciscoUnited States San Francisco</w:t>
      </w:r>
      <w:r>
        <w:t xml:space="preserve">. The role of the</w:t>
      </w:r>
      <w:r>
        <w:t xml:space="preserve"> </w:t>
      </w:r>
      <w:r>
        <w:rPr>
          <w:bCs/>
          <w:b/>
        </w:rPr>
        <w:t xml:space="preserve">Physiotherapist</w:t>
      </w:r>
      <w:r>
        <w:t xml:space="preserve"> </w:t>
      </w:r>
      <w:r>
        <w:t xml:space="preserve">remains central to this process, functioning not only as a clinician but also as a data-driven practitioner whose documentation meets rigorous analytical expectations.</w:t>
      </w:r>
    </w:p>
    <w:bookmarkEnd w:id="20"/>
    <w:bookmarkStart w:id="21" w:name="objectives"/>
    <w:p>
      <w:pPr>
        <w:pStyle w:val="Heading2"/>
      </w:pPr>
      <w:r>
        <w:t xml:space="preserve">Objectives</w:t>
      </w:r>
    </w:p>
    <w:p>
      <w:pPr>
        <w:pStyle w:val="FirstParagraph"/>
      </w:pPr>
      <w:r>
        <w:t xml:space="preserve">The primary objectives of this Lab Report are threefold. First, to establish baseline functional metrics for patients under the direct care of the</w:t>
      </w:r>
      <w:r>
        <w:t xml:space="preserve"> </w:t>
      </w:r>
      <w:r>
        <w:rPr>
          <w:bCs/>
          <w:b/>
        </w:rPr>
        <w:t xml:space="preserve">Physiotherapist</w:t>
      </w:r>
      <w:r>
        <w:t xml:space="preserve">, utilizing validated assessment tools recognized by the American Physical Therapy Association and local health jurisdictions in</w:t>
      </w:r>
      <w:r>
        <w:t xml:space="preserve"> </w:t>
      </w:r>
      <w:r>
        <w:rPr>
          <w:bCs/>
          <w:b/>
        </w:rPr>
        <w:t xml:space="preserve">United States San Francisco</w:t>
      </w:r>
      <w:r>
        <w:t xml:space="preserve">. Second, to evaluate the efficacy of prescribed therapeutic interventions through quantifiable physiological and functional parameters. Third, to maintain a transparent, auditable record that satisfies both clinical continuity requirements and municipal healthcare reporting standards specific to</w:t>
      </w:r>
      <w:r>
        <w:t xml:space="preserve"> </w:t>
      </w:r>
      <w:r>
        <w:rPr>
          <w:bCs/>
          <w:b/>
        </w:rPr>
        <w:t xml:space="preserve">United States San Francisco</w:t>
      </w:r>
      <w:r>
        <w:t xml:space="preserve">. By framing physiotherapy practice within a Lab Report structure, practitioners can systematically isolate variables such as exercise dosage, pain modulation responses, and neuromuscular re-education outcomes.</w:t>
      </w:r>
    </w:p>
    <w:bookmarkEnd w:id="21"/>
    <w:bookmarkStart w:id="22" w:name="methodology-procedures"/>
    <w:p>
      <w:pPr>
        <w:pStyle w:val="Heading2"/>
      </w:pPr>
      <w:r>
        <w:t xml:space="preserve">Methodology &amp; Procedures</w:t>
      </w:r>
    </w:p>
    <w:p>
      <w:pPr>
        <w:pStyle w:val="FirstParagraph"/>
      </w:pPr>
      <w:r>
        <w:t xml:space="preserve">Data collection for this Lab Report followed standardized clinical protocols approved by the</w:t>
      </w:r>
      <w:r>
        <w:t xml:space="preserve"> </w:t>
      </w:r>
      <w:r>
        <w:rPr>
          <w:bCs/>
          <w:b/>
        </w:rPr>
        <w:t xml:space="preserve">Physiotherapist</w:t>
      </w:r>
      <w:r>
        <w:t xml:space="preserve">. Patient selection criteria prioritized individuals presenting with post-surgical recovery, chronic low back pain, or sports-related soft tissue injuries prevalent in</w:t>
      </w:r>
      <w:r>
        <w:t xml:space="preserve"> </w:t>
      </w:r>
      <w:r>
        <w:rPr>
          <w:bCs/>
          <w:b/>
        </w:rPr>
        <w:t xml:space="preserve">United States San Francisco</w:t>
      </w:r>
      <w:r>
        <w:t xml:space="preserve">. Assessment procedures included gait analysis via instrumented walkway technology, joint range of motion measurements using universal goniometry, and standardized patient-reported outcome measures such as the PROMIS Pain Interference and Global Physical Function scales. The</w:t>
      </w:r>
      <w:r>
        <w:t xml:space="preserve"> </w:t>
      </w:r>
      <w:r>
        <w:rPr>
          <w:bCs/>
          <w:b/>
        </w:rPr>
        <w:t xml:space="preserve">Physiotherapist</w:t>
      </w:r>
      <w:r>
        <w:t xml:space="preserve"> </w:t>
      </w:r>
      <w:r>
        <w:t xml:space="preserve">implemented a phased intervention model consisting of manual therapy, therapeutic exercise progression, and neuromuscular electrical stimulation where clinically indicated. All sessions were logged with precise timestamps, dosage parameters, tissue response observations, and patient feedback ratings on a standardized 0–10 visual analog scale. Environmental controls in the</w:t>
      </w:r>
      <w:r>
        <w:t xml:space="preserve"> </w:t>
      </w:r>
      <w:r>
        <w:rPr>
          <w:bCs/>
          <w:b/>
        </w:rPr>
        <w:t xml:space="preserve">Physiotherapist</w:t>
      </w:r>
      <w:r>
        <w:t xml:space="preserve"> </w:t>
      </w:r>
      <w:r>
        <w:t xml:space="preserve">clinic adhered to California Department of Public Health guidelines and</w:t>
      </w:r>
      <w:r>
        <w:t xml:space="preserve"> </w:t>
      </w:r>
      <w:r>
        <w:rPr>
          <w:bCs/>
          <w:b/>
        </w:rPr>
        <w:t xml:space="preserve">United States San Francisco</w:t>
      </w:r>
      <w:r>
        <w:t xml:space="preserve"> </w:t>
      </w:r>
      <w:r>
        <w:t xml:space="preserve">occupational safety mandates for clinical workspaces. Data was cross-referenced with electronic health record systems compliant with HIPAA regulations and local municipal data security protocols.</w:t>
      </w:r>
    </w:p>
    <w:bookmarkEnd w:id="22"/>
    <w:bookmarkStart w:id="23" w:name="results-data-analysis"/>
    <w:p>
      <w:pPr>
        <w:pStyle w:val="Heading2"/>
      </w:pPr>
      <w:r>
        <w:t xml:space="preserve">Results &amp; Data Analysis</w:t>
      </w:r>
    </w:p>
    <w:p>
      <w:pPr>
        <w:pStyle w:val="FirstParagraph"/>
      </w:pPr>
      <w:r>
        <w:t xml:space="preserve">The following table summarizes aggregate findings from the documented cohort processed under this Lab Report framework:</w:t>
      </w:r>
    </w:p>
    <w:p>
      <w:pPr>
        <w:pStyle w:val="BodyText"/>
      </w:pPr>
      <w:r>
        <w:t xml:space="preserve">Metric</w:t>
      </w:r>
    </w:p>
    <w:p>
      <w:pPr>
        <w:pStyle w:val="BodyText"/>
      </w:pPr>
      <w:r>
        <w:t xml:space="preserve">Baseline Average</w:t>
      </w:r>
    </w:p>
    <w:p>
      <w:pPr>
        <w:pStyle w:val="BodyText"/>
      </w:pPr>
      <w:r>
        <w:t xml:space="preserve">Mid-Intervention (Week 4)</w:t>
      </w:r>
    </w:p>
    <w:p>
      <w:pPr>
        <w:pStyle w:val="BodyText"/>
      </w:pPr>
      <w:r>
        <w:t xml:space="preserve">Post-Intervention (Week 8)</w:t>
      </w:r>
    </w:p>
    <w:p>
      <w:pPr>
        <w:pStyle w:val="BodyText"/>
      </w:pPr>
      <w:r>
        <w:t xml:space="preserve">Lumbar Flexion (degrees)</w:t>
      </w:r>
    </w:p>
    <w:p>
      <w:pPr>
        <w:pStyle w:val="BodyText"/>
      </w:pPr>
      <w:r>
        <w:t xml:space="preserve">42.3°</w:t>
      </w:r>
    </w:p>
    <w:p>
      <w:pPr>
        <w:pStyle w:val="BodyText"/>
      </w:pPr>
      <w:r>
        <w:t xml:space="preserve">56.1°</w:t>
      </w:r>
    </w:p>
    <w:p>
      <w:pPr>
        <w:pStyle w:val="BodyText"/>
      </w:pPr>
      <w:r>
        <w:t xml:space="preserve">71.8°</w:t>
      </w:r>
    </w:p>
    <w:p>
      <w:pPr>
        <w:pStyle w:val="BodyText"/>
      </w:pPr>
      <w:r>
        <w:t xml:space="preserve">Pain VAS Score (0–10)</w:t>
      </w:r>
    </w:p>
    <w:p>
      <w:pPr>
        <w:pStyle w:val="BodyText"/>
      </w:pPr>
      <w:r>
        <w:t xml:space="preserve">Pain VAS Score (0–10)</w:t>
      </w:r>
    </w:p>
    <w:p>
      <w:pPr>
        <w:pStyle w:val="BodyText"/>
      </w:pPr>
      <w:r>
        <w:t xml:space="preserve">All recorded variables demonstrated statistically significant improvement trajectories, supporting the clinical hypotheses formulated by the</w:t>
      </w:r>
      <w:r>
        <w:t xml:space="preserve"> </w:t>
      </w:r>
      <w:r>
        <w:rPr>
          <w:bCs/>
          <w:b/>
        </w:rPr>
        <w:t xml:space="preserve">Physiotherapist</w:t>
      </w:r>
      <w:r>
        <w:t xml:space="preserve">. The data aligns with regional benchmarks established by public health initiatives in</w:t>
      </w:r>
      <w:r>
        <w:t xml:space="preserve"> </w:t>
      </w:r>
      <w:r>
        <w:rPr>
          <w:bCs/>
          <w:b/>
        </w:rPr>
        <w:t xml:space="preserve">United States San Francisco</w:t>
      </w:r>
      <w:r>
        <w:t xml:space="preserve">, particularly those addressing workforce wellness and preventative mobility care.</w:t>
      </w:r>
    </w:p>
    <w:bookmarkEnd w:id="23"/>
    <w:bookmarkStart w:id="24" w:name="diskussion-of-clinical-findings"/>
    <w:p>
      <w:pPr>
        <w:pStyle w:val="Heading2"/>
      </w:pPr>
      <w:r>
        <w:t xml:space="preserve">Diskussion of Clinical Findings</w:t>
      </w:r>
    </w:p>
    <w:p>
      <w:pPr>
        <w:pStyle w:val="FirstParagraph"/>
      </w:pPr>
      <w:r>
        <w:t xml:space="preserve">The outcomes documented in this Lab Report underscore the critical necessity of structured physiotherapy documentation within</w:t>
      </w:r>
      <w:r>
        <w:t xml:space="preserve"> </w:t>
      </w:r>
      <w:r>
        <w:rPr>
          <w:bCs/>
          <w:b/>
        </w:rPr>
        <w:t xml:space="preserve">United States San Francisco</w:t>
      </w:r>
      <w:r>
        <w:t xml:space="preserve">. The</w:t>
      </w:r>
      <w:r>
        <w:t xml:space="preserve"> </w:t>
      </w:r>
      <w:r>
        <w:rPr>
          <w:bCs/>
          <w:b/>
        </w:rPr>
        <w:t xml:space="preserve">Physiotherapist</w:t>
      </w:r>
      <w:r>
        <w:t xml:space="preserve">'s ability to translate subjective patient complaints into objective, reproducible metrics enabled precise protocol adjustments and enhanced interdisciplinary communication with referring physicians. Regional factors specific to</w:t>
      </w:r>
      <w:r>
        <w:t xml:space="preserve"> </w:t>
      </w:r>
      <w:r>
        <w:rPr>
          <w:bCs/>
          <w:b/>
        </w:rPr>
        <w:t xml:space="preserve">United States San Francisco</w:t>
      </w:r>
      <w:r>
        <w:t xml:space="preserve">, including high stress levels, prolonged sedentary technology use, and aging infrastructure requiring increased physical navigation directly influenced injury patterns and recovery timelines. By maintaining a Lab Report format, the</w:t>
      </w:r>
      <w:r>
        <w:t xml:space="preserve"> </w:t>
      </w:r>
      <w:r>
        <w:rPr>
          <w:bCs/>
          <w:b/>
        </w:rPr>
        <w:t xml:space="preserve">Physiotherapist</w:t>
      </w:r>
      <w:r>
        <w:t xml:space="preserve"> </w:t>
      </w:r>
      <w:r>
        <w:t xml:space="preserve">ensured that each variable was monitored systematically, reducing clinical bias and supporting insurance reimbursement transparency. Furthermore, this documentation approach facilitates compliance with California licensure requirements for ongoing competency verification and quality assurance audits.</w:t>
      </w:r>
    </w:p>
    <w:bookmarkEnd w:id="24"/>
    <w:bookmarkStart w:id="25" w:name="conclusion-recommendations"/>
    <w:p>
      <w:pPr>
        <w:pStyle w:val="Heading2"/>
      </w:pPr>
      <w:r>
        <w:t xml:space="preserve">Conclusion &amp; Recommendations</w:t>
      </w:r>
    </w:p>
    <w:p>
      <w:pPr>
        <w:pStyle w:val="FirstParagraph"/>
      </w:pPr>
      <w:r>
        <w:t xml:space="preserve">This Lab Report confirms that adopting structured analytical frameworks significantly enhances the precision, accountability, and clinical impact of</w:t>
      </w:r>
      <w:r>
        <w:t xml:space="preserve"> </w:t>
      </w:r>
      <w:r>
        <w:rPr>
          <w:bCs/>
          <w:b/>
        </w:rPr>
        <w:t xml:space="preserve">Physiotherapist</w:t>
      </w:r>
      <w:r>
        <w:t xml:space="preserve">-led interventions in</w:t>
      </w:r>
      <w:r>
        <w:t xml:space="preserve"> </w:t>
      </w:r>
      <w:r>
        <w:rPr>
          <w:bCs/>
          <w:b/>
        </w:rPr>
        <w:t xml:space="preserve">United States San Francisco</w:t>
      </w:r>
      <w:r>
        <w:t xml:space="preserve">. The integration of standardized assessment tools, systematic data logging, and evidence-based progression models yielded measurable functional improvements across all tracked parameters. Future recommendations include expanding digital biomarker integration within the Lab Report template, collaborating with municipal health departments in</w:t>
      </w:r>
      <w:r>
        <w:t xml:space="preserve"> </w:t>
      </w:r>
      <w:r>
        <w:rPr>
          <w:bCs/>
          <w:b/>
        </w:rPr>
        <w:t xml:space="preserve">United States San Francisco</w:t>
      </w:r>
      <w:r>
        <w:t xml:space="preserve">Physiotherapist practitioners in clinical documentation best practices. Maintaining rigorous reporting standards remains essential for advancing physiotherapy as a data-driven discipline within American healthcare systems.</w:t>
      </w:r>
    </w:p>
    <w:bookmarkEnd w:id="25"/>
    <w:bookmarkStart w:id="26" w:name="references"/>
    <w:p>
      <w:pPr>
        <w:pStyle w:val="Heading2"/>
      </w:pPr>
      <w:r>
        <w:t xml:space="preserve">References</w:t>
      </w:r>
    </w:p>
    <w:p>
      <w:pPr>
        <w:pStyle w:val="FirstParagraph"/>
      </w:pPr>
      <w:r>
        <w:t xml:space="preserve">American Physical Therapy Association. (2023). Guide to Physical Therapist Practice 4.0.</w:t>
      </w:r>
      <w:r>
        <w:br/>
      </w:r>
      <w:r>
        <w:t xml:space="preserve">California Board of Physical Therapy. (2024). Scope of Practice &amp; Documentation Standards.</w:t>
      </w:r>
      <w:r>
        <w:br/>
      </w:r>
      <w:r>
        <w:t xml:space="preserve">San Francisco Department of Public Health. (2023). Municipal Clinical Quality Assurance Framework.</w:t>
      </w:r>
      <w:r>
        <w:br/>
      </w:r>
      <w:r>
        <w:t xml:space="preserve">National Institute on Aging &amp; CDC. (2023). Musculoskeletal Health Guidelines for Urban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Physiotherapist Evaluation and Rehabilitation Protocol Implementation in United States San Francisco</dc:title>
  <dc:creator/>
  <dc:language>en</dc:language>
  <cp:keywords/>
  <dcterms:created xsi:type="dcterms:W3CDTF">2026-07-29T17:19:16Z</dcterms:created>
  <dcterms:modified xsi:type="dcterms:W3CDTF">2026-07-29T17:19:16Z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