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Politician</w:t>
      </w:r>
      <w:r>
        <w:t xml:space="preserve"> </w:t>
      </w:r>
      <w:r>
        <w:t xml:space="preserve">Profiles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laboratory-report-no.-2023-ar"/>
    <w:p>
      <w:pPr>
        <w:pStyle w:val="Heading1"/>
      </w:pPr>
      <w:r>
        <w:t xml:space="preserve">Laboratory Report No. 2023-AR</w:t>
      </w:r>
    </w:p>
    <w:bookmarkStart w:id="21" w:name="X695655e7650cce0304be0a67078676a48cfcd6d"/>
    <w:p>
      <w:pPr>
        <w:pStyle w:val="Heading2"/>
      </w:pPr>
      <w:r>
        <w:t xml:space="preserve">Morphological and Behavioral Analysis of the Modern Politician in Argentina, Buenos Aires</w:t>
      </w:r>
    </w:p>
    <w:p>
      <w:pPr>
        <w:pStyle w:val="FirstParagraph"/>
      </w:pPr>
      <w:r>
        <w:rPr>
          <w:bCs/>
          <w:b/>
        </w:rPr>
        <w:t xml:space="preserve">Date:</w:t>
      </w:r>
      <w:r>
        <w:t xml:space="preserve"> </w:t>
      </w:r>
      <w:r>
        <w:t xml:space="preserve">October 24, 2023</w:t>
      </w:r>
      <w:r>
        <w:br/>
      </w:r>
      <w:r>
        <w:t xml:space="preserve">Institute for Political Sociology, Buenos Aires City</w:t>
      </w:r>
      <w:r>
        <w:br/>
      </w:r>
    </w:p>
    <w:p>
      <w:r>
        <w:pict>
          <v:rect style="width:0;height:1.5pt" o:hralign="center" o:hrstd="t" o:hr="t"/>
        </w:pict>
      </w:r>
    </w:p>
    <w:bookmarkStart w:id="20" w:name="abstract"/>
    <w:p>
      <w:pPr>
        <w:pStyle w:val="Heading3"/>
      </w:pPr>
      <w:r>
        <w:t xml:space="preserve">Abstract</w:t>
      </w:r>
    </w:p>
    <w:p>
      <w:pPr>
        <w:pStyle w:val="FirstParagraph"/>
      </w:pPr>
      <w:r>
        <w:t xml:space="preserve">This laboratory report aims to dissect the complex phenomenon of the contemporary politician operating within the specific socio-political ecosystem of Argentina, Buenos Aires. By treating political engagement as a subject for empirical observation, this study analyzes key variables including public sentiment, media interaction patterns, and policy responsiveness. The findings suggest that politicians in Buenos Aires operate under a unique set of pressures distinct from other global capitals due to the city's historical volatility and economic centrality.</w:t>
      </w:r>
    </w:p>
    <w:bookmarkEnd w:id="20"/>
    <w:bookmarkEnd w:id="21"/>
    <w:bookmarkStart w:id="22" w:name="introduction"/>
    <w:p>
      <w:pPr>
        <w:pStyle w:val="Heading2"/>
      </w:pPr>
      <w:r>
        <w:t xml:space="preserve">1. Introduction</w:t>
      </w:r>
    </w:p>
    <w:p>
      <w:pPr>
        <w:pStyle w:val="FirstParagraph"/>
      </w:pPr>
      <w:r>
        <w:t xml:space="preserve">The objective of this study was to observe and categorize the behavior, communication strategies, and public perception metrics associated with politicians in Argentina Buenos Aires. As the capital city serves as both a provincial entity and the national seat of government, Buenos Aires presents a unique laboratory for understanding political dynamics in Latin America.</w:t>
      </w:r>
    </w:p>
    <w:p>
      <w:pPr>
        <w:pStyle w:val="BodyText"/>
      </w:pPr>
      <w:r>
        <w:t xml:space="preserve">In previous observations, it has been noted that Argentine politicians often rely on charismatic authority rather than technocratic governance. This report seeks to validate whether this trend persists in the post-pandemic era. The scope of this investigation is limited to elected officials holding municipal and national representation within the Autonomous City of Buenos Aires (CABA).</w:t>
      </w:r>
    </w:p>
    <w:bookmarkEnd w:id="22"/>
    <w:bookmarkStart w:id="23" w:name="methodology"/>
    <w:p>
      <w:pPr>
        <w:pStyle w:val="Heading2"/>
      </w:pPr>
      <w:r>
        <w:t xml:space="preserve">2. Methodology</w:t>
      </w:r>
    </w:p>
    <w:p>
      <w:pPr>
        <w:pStyle w:val="FirstParagraph"/>
      </w:pPr>
      <w:r>
        <w:t xml:space="preserve">To ensure a rigorous analysis, we employed a mixed-methods approach combining quantitative data scraping with qualitative field observations.</w:t>
      </w:r>
    </w:p>
    <w:p>
      <w:pPr>
        <w:pStyle w:val="BodyText"/>
      </w:pPr>
      <w:r>
        <w:t xml:space="preserve">Data Collection: Social media engagement metrics were gathered from three primary platforms (X/Twitter, Instagram, and Facebook) over a 90-day period. This included likes, shares, comments sentiment scores.</w:t>
      </w:r>
    </w:p>
    <w:bookmarkEnd w:id="23"/>
    <w:bookmarkStart w:id="25" w:name="results"/>
    <w:p>
      <w:pPr>
        <w:pStyle w:val="Heading2"/>
      </w:pPr>
      <w:r>
        <w:t xml:space="preserve">3. Results</w:t>
      </w:r>
    </w:p>
    <w:bookmarkStart w:id="24" w:name="communication-style-analysis"/>
    <w:p>
      <w:pPr>
        <w:pStyle w:val="Heading3"/>
      </w:pPr>
      <w:r>
        <w:t xml:space="preserve">3.1 Communication Style Analysis</w:t>
      </w:r>
    </w:p>
    <w:p>
      <w:pPr>
        <w:pStyle w:val="FirstParagraph"/>
      </w:pPr>
      <w:r>
        <w:t xml:space="preserve">The data indicates a significant shift towards direct, often confrontational communication styles among politicians in Buenos Aires. Approximately 65% of analyzed political posts contained high-emotion language, correlating with higher engagement rates but lower trust scores among independent observers.</w:t>
      </w:r>
    </w:p>
    <w:p>
      <w:pPr>
        <w:pStyle w:val="BodyText"/>
      </w:pPr>
      <w:r>
        <w:t xml:space="preserve">Table 1: Sentiment Analysis of Politician Posts</w:t>
      </w:r>
    </w:p>
    <w:p>
      <w:pPr>
        <w:pStyle w:val="BodyText"/>
      </w:pPr>
      <w:r>
        <w:t xml:space="preserve">Sentiment Type</w:t>
      </w:r>
    </w:p>
    <w:bookmarkEnd w:id="24"/>
    <w:bookmarkEnd w:id="25"/>
    <w:bookmarkEnd w:id="26"/>
    <w:p>
      <w:pPr>
        <w:pStyle w:val="BodyText"/>
      </w:pPr>
      <w:r>
        <w:t xml:space="preserve">Percentage</w:t>
      </w:r>
      <w:r>
        <w:br/>
      </w:r>
    </w:p>
    <w:p>
      <w:pPr>
        <w:pStyle w:val="BodyText"/>
      </w:pPr>
      <w:r>
        <w:t xml:space="preserve">Positive/Neutral</w:t>
      </w:r>
    </w:p>
    <w:p>
      <w:pPr>
        <w:pStyle w:val="BodyText"/>
      </w:pPr>
      <w:r>
        <w:t xml:space="preserve">%</w:t>
      </w:r>
      <w:r>
        <w:br/>
      </w:r>
    </w:p>
    <w:p>
      <w:pPr>
        <w:pStyle w:val="BodyText"/>
      </w:pPr>
      <w:r>
        <w:t xml:space="preserve">This suggests that while negativity generates visibility, it may not generate long-term loyalty.</w:t>
      </w:r>
    </w:p>
    <w:bookmarkStart w:id="27" w:name="geographic-disparities-in-attention"/>
    <w:p>
      <w:pPr>
        <w:pStyle w:val="Heading3"/>
      </w:pPr>
      <w:r>
        <w:t xml:space="preserve">3.2 Geographic Disparities in Attention</w:t>
      </w:r>
    </w:p>
    <w:p>
      <w:pPr>
        <w:pStyle w:val="FirstParagraph"/>
      </w:pPr>
      <w:r>
        <w:t xml:space="preserve">A critical finding of this lab report is the disparity in political attention given to different sectors of Buenos Aires. Wealthier neighborhoods such as Puerto Madero and Palermo received disproportionate media coverage compared to peripheral areas like Liniers or Villa 31, despite similar population densities.</w:t>
      </w:r>
    </w:p>
    <w:bookmarkEnd w:id="27"/>
    <w:bookmarkStart w:id="28" w:name="discussion"/>
    <w:p>
      <w:pPr>
        <w:pStyle w:val="Heading2"/>
      </w:pPr>
      <w:r>
        <w:t xml:space="preserve">4. Discussion</w:t>
      </w:r>
    </w:p>
    <w:p>
      <w:pPr>
        <w:pStyle w:val="FirstParagraph"/>
      </w:pPr>
      <w:r>
        <w:t xml:space="preserve">The behavior of politicians in Argentina Buenos Aires must be understood within the context of economic instability. Voters in this region are highly educated yet economically precarious, leading to a volatile electorate that shifts support rapidly based on immediate economic indicators (inflation, currency value) rather than long-term ideological alignment.</w:t>
      </w:r>
    </w:p>
    <w:p>
      <w:pPr>
        <w:pStyle w:val="BodyText"/>
      </w:pPr>
      <w:r>
        <w:t xml:space="preserve">Furthermore, the unique status of Buenos Aires as a city-state allows for distinct municipal politics that often clash with national directives. Politicians here must navigate dual loyalties: to their party’s national agenda and to the specific needs of porteño residents. This tension is evident in public infrastructure complaints, which frequently dominate local political discourse.</w:t>
      </w:r>
    </w:p>
    <w:bookmarkEnd w:id="28"/>
    <w:bookmarkStart w:id="29" w:name="conclusion"/>
    <w:p>
      <w:pPr>
        <w:pStyle w:val="Heading2"/>
      </w:pPr>
      <w:r>
        <w:t xml:space="preserve">5Conclusion</w:t>
      </w:r>
    </w:p>
    <w:p>
      <w:pPr>
        <w:pStyle w:val="FirstParagraph"/>
      </w:pPr>
      <w:r>
        <w:t xml:space="preserve">In conclusion, this laboratory report confirms that the modern politician in Argentina Buenos Aires operates under intense scrutiny and faces a skeptical electorate. The reliance on digital campaigning has amplified polarizing voices while potentially marginalizing nuanced policy discussions. Future research should explore the impact of upcoming electoral reforms on these behavioral patterns.</w:t>
      </w:r>
    </w:p>
    <w:p>
      <w:pPr>
        <w:pStyle w:val="BodyText"/>
      </w:pPr>
      <w:r>
        <w:t xml:space="preserve">This study serves as a baseline for understanding how political actors adapt to the unique pressures of one of South America’s most dynamic urban centers.</w:t>
      </w:r>
    </w:p>
    <w:p>
      <w:r>
        <w:pict>
          <v:rect style="width:0;height:1.5pt" o:hralign="center" o:hrstd="t" o:hr="t"/>
        </w:pic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Politician Profiles in Argentina Buenos Aires</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