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Politician</w:t>
      </w:r>
      <w:r>
        <w:t xml:space="preserve"> </w:t>
      </w:r>
      <w:r>
        <w:t xml:space="preserve">Dynamics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1" w:name="X23d29aa1b3e6f2f20776b36594780caf07a4e8e"/>
    <w:p>
      <w:pPr>
        <w:pStyle w:val="Heading1"/>
      </w:pPr>
      <w:r>
        <w:t xml:space="preserve">Laboratory Report on Political Behavior and Strategy</w:t>
      </w:r>
    </w:p>
    <w:p>
      <w:pPr>
        <w:pStyle w:val="FirstParagraph"/>
      </w:pPr>
      <w:r>
        <w:rPr>
          <w:bCs/>
          <w:b/>
        </w:rPr>
        <w:t xml:space="preserve">Date:</w:t>
      </w:r>
      <w:r>
        <w:t xml:space="preserve"> </w:t>
      </w:r>
      <w:r>
        <w:t xml:space="preserve">October 26, 2023</w:t>
      </w:r>
      <w:r>
        <w:br/>
      </w:r>
      <w:r>
        <w:rPr>
          <w:bCs/>
          <w:b/>
        </w:rPr>
        <w:t xml:space="preserve">Location:</w:t>
      </w:r>
      <w:r>
        <w:t xml:space="preserve">Theoretical Simulation Lab, Tehran Context</w:t>
      </w:r>
      <w:r>
        <w:br/>
      </w:r>
      <w:r>
        <w:rPr>
          <w:bCs/>
          <w:b/>
        </w:rPr>
        <w:t xml:space="preserve">Status:</w:t>
      </w:r>
      <w:r>
        <w:t xml:space="preserve">Draft Analysis</w:t>
      </w:r>
    </w:p>
    <w:bookmarkStart w:id="20" w:name="abstract"/>
    <w:p>
      <w:pPr>
        <w:pStyle w:val="Heading2"/>
      </w:pPr>
      <w:r>
        <w:t xml:space="preserve">1. Abstract</w:t>
      </w:r>
    </w:p>
    <w:p>
      <w:pPr>
        <w:pStyle w:val="FirstParagraph"/>
      </w:pPr>
      <w:r>
        <w:t xml:space="preserve">This Laboratory Report provides a comprehensive analysis of the role, function, and operational parameters of a "Politician" within the specific geopolitical and sociological environment of Iran, with a focal point on Tehran. Unlike traditional political science essays, this document adopts a "Laboratory" approach to dissect the variables influencing political efficacy in the capital city. Tehran serves as the primary petri dish where ideological mandates intersect with public sentiment, economic pressure, and administrative reality. This report aims to evaluate how an individual designated as a Politician must navigate these complex layers to maintain legitimacy and operational success.</w:t>
      </w:r>
    </w:p>
    <w:bookmarkEnd w:id="20"/>
    <w:bookmarkStart w:id="21" w:name="introduction"/>
    <w:p>
      <w:pPr>
        <w:pStyle w:val="Heading2"/>
      </w:pPr>
      <w:r>
        <w:t xml:space="preserve">2. Introduction</w:t>
      </w:r>
    </w:p>
    <w:p>
      <w:pPr>
        <w:pStyle w:val="FirstParagraph"/>
      </w:pPr>
      <w:r>
        <w:t xml:space="preserve">The city of Tehran, as the capital of Iran, represents a microcosm of the nation's broader political struggles. It is a metropolis characterized by stark contrasts between historical preservation and modern urbanization, religious conservatism and youthful liberalism. In this context, the figure of the Politician is not merely an elected official but a critical node in the state’s infrastructure. The objective of this laboratory study is to isolate the variables that define success or failure for politicians operating within Tehran’s unique ecosystem.</w:t>
      </w:r>
    </w:p>
    <w:p>
      <w:pPr>
        <w:pStyle w:val="BodyText"/>
      </w:pPr>
      <w:r>
        <w:t xml:space="preserve">We posit that a Politician in Iran Tehran cannot rely solely on ideological purity or administrative competence alone. Instead, they must operate as a hybrid entity capable of translating state directives into local solutions while simultaneously interpreting public grievances for the central government. This report explores these dual responsibilities through qualitative analysis of socio-political indicators.</w:t>
      </w:r>
    </w:p>
    <w:bookmarkEnd w:id="21"/>
    <w:bookmarkStart w:id="22" w:name="methodology"/>
    <w:p>
      <w:pPr>
        <w:pStyle w:val="Heading2"/>
      </w:pPr>
      <w:r>
        <w:t xml:space="preserve">3. Methodology</w:t>
      </w:r>
    </w:p>
    <w:p>
      <w:pPr>
        <w:pStyle w:val="FirstParagraph"/>
      </w:pPr>
      <w:r>
        <w:t xml:space="preserve">To simulate the "Laboratory" conditions, we employed a multi-variable analysis model focusing on three key inputs:</w:t>
      </w:r>
    </w:p>
    <w:p>
      <w:pPr>
        <w:numPr>
          <w:ilvl w:val="0"/>
          <w:numId w:val="1001"/>
        </w:numPr>
        <w:pStyle w:val="Compact"/>
      </w:pPr>
      <w:r>
        <w:rPr>
          <w:bCs/>
          <w:b/>
        </w:rPr>
        <w:t xml:space="preserve">Ideological Alignment:</w:t>
      </w:r>
      <w:r>
        <w:t xml:space="preserve">The degree to which the Politician adheres to the principles established by the Islamic Republic.</w:t>
      </w:r>
    </w:p>
    <w:p>
      <w:pPr>
        <w:numPr>
          <w:ilvl w:val="0"/>
          <w:numId w:val="1001"/>
        </w:numPr>
        <w:pStyle w:val="Compact"/>
      </w:pPr>
      <w:r>
        <w:rPr>
          <w:bCs/>
          <w:b/>
        </w:rPr>
        <w:t xml:space="preserve">Civic Engagement (Tehran Specific):</w:t>
      </w:r>
      <w:r>
        <w:t xml:space="preserve">The level of interaction with Tehran’s diverse demographic groups, including students, merchants (Bazaaris), and industrial workers.</w:t>
      </w:r>
    </w:p>
    <w:p>
      <w:pPr>
        <w:numPr>
          <w:ilvl w:val="0"/>
          <w:numId w:val="1001"/>
        </w:numPr>
        <w:pStyle w:val="Compact"/>
      </w:pPr>
      <w:r>
        <w:t xml:space="preserve">Digital Presence:The efficacy of communication through social media platforms prevalent in Iran.</w:t>
      </w:r>
    </w:p>
    <w:p>
      <w:pPr>
        <w:pStyle w:val="FirstParagraph"/>
      </w:pPr>
      <w:r>
        <w:t xml:space="preserve">Data was synthesized from historical election trends in Tehran districts, public protest patterns observed over the last decade, and administrative performance metrics of municipal councils. This qualitative data serves as our experimental basis for determining the "vital signs" of effective political leadership in this region.</w:t>
      </w:r>
    </w:p>
    <w:bookmarkEnd w:id="22"/>
    <w:bookmarkStart w:id="26" w:name="observations-the-tehran-context"/>
    <w:p>
      <w:pPr>
        <w:pStyle w:val="Heading2"/>
      </w:pPr>
      <w:r>
        <w:t xml:space="preserve">4. Observations: The Tehran Context</w:t>
      </w:r>
    </w:p>
    <w:p>
      <w:pPr>
        <w:pStyle w:val="FirstParagraph"/>
      </w:pPr>
      <w:r>
        <w:t xml:space="preserve">Tehran presents a unique challenge for any Politician. The city is densely populated, with significant socioeconomic disparities between the wealthy northern districts and the underserved southern peripheries. A successful Politician in this environment must be adept at resource allocation and symbolic representation.</w:t>
      </w:r>
    </w:p>
    <w:bookmarkStart w:id="23" w:name="the-bazaari-influence"/>
    <w:p>
      <w:pPr>
        <w:pStyle w:val="Heading3"/>
      </w:pPr>
      <w:r>
        <w:t xml:space="preserve">4.1 The Bazaari Influence</w:t>
      </w:r>
    </w:p>
    <w:p>
      <w:pPr>
        <w:pStyle w:val="FirstParagraph"/>
      </w:pPr>
      <w:r>
        <w:t xml:space="preserve">In our analysis, the traditional merchant class of Tehran, known as the Bazaaris, remains a potent force. A Politician who alienates this demographic often finds their supply chains disrupted and their political funding dried up. However, modernizing politicians argue that reliance on Bazaar interests can stifle economic reform. The laboratory observation suggests that the most durable Politicians are those who mediate between traditional commercial powers and modern state objectives.</w:t>
      </w:r>
    </w:p>
    <w:bookmarkEnd w:id="23"/>
    <w:bookmarkStart w:id="24" w:name="youth-demographics"/>
    <w:p>
      <w:pPr>
        <w:pStyle w:val="Heading3"/>
      </w:pPr>
      <w:r>
        <w:t xml:space="preserve">4.2 Youth Demographics</w:t>
      </w:r>
    </w:p>
    <w:p>
      <w:pPr>
        <w:pStyle w:val="FirstParagraph"/>
      </w:pPr>
      <w:r>
        <w:t xml:space="preserve">Tehran is home to a massive youth population that is highly connected digitally yet often disenfranchised economically. For a Politician in Iran Tehran, ignoring this demographic is akin to scientific negligence in a lab experiment; it guarantees unpredictable and volatile results. Recent trends indicate that politicians who engage with issues such as unemployment, internet accessibility, and social freedoms tend to gain grassroots support, even if they must do so within the boundaries of state ideology.</w:t>
      </w:r>
    </w:p>
    <w:bookmarkEnd w:id="24"/>
    <w:bookmarkStart w:id="25" w:name="urban-infrastructure"/>
    <w:p>
      <w:pPr>
        <w:pStyle w:val="Heading3"/>
      </w:pPr>
      <w:r>
        <w:t xml:space="preserve">4.3 Urban Infrastructure</w:t>
      </w:r>
    </w:p>
    <w:p>
      <w:pPr>
        <w:pStyle w:val="FirstParagraph"/>
      </w:pPr>
      <w:r>
        <w:t xml:space="preserve">The physical environment of Tehran—characterized by air pollution and traffic congestion—serves as a tangible metric for political performance. A Politician is frequently judged on their ability to secure budgets for public transport and environmental protection. Failure in these technical domains often translates into broader political distrust.</w:t>
      </w:r>
    </w:p>
    <w:bookmarkEnd w:id="25"/>
    <w:bookmarkEnd w:id="26"/>
    <w:bookmarkStart w:id="27" w:name="analysis-of-variables"/>
    <w:p>
      <w:pPr>
        <w:pStyle w:val="Heading2"/>
      </w:pPr>
      <w:r>
        <w:t xml:space="preserve">5. Analysis of Variables</w:t>
      </w:r>
    </w:p>
    <w:p>
      <w:pPr>
        <w:pStyle w:val="FirstParagraph"/>
      </w:pPr>
      <w:r>
        <w:rPr>
          <w:bCs/>
          <w:b/>
        </w:rPr>
        <w:t xml:space="preserve">Variability Factor</w:t>
      </w:r>
    </w:p>
    <w:bookmarkEnd w:id="27"/>
    <w:p>
      <w:pPr>
        <w:pStyle w:val="BodyText"/>
      </w:pPr>
      <w:r>
        <w:rPr>
          <w:bCs/>
          <w:b/>
        </w:rPr>
        <w:t xml:space="preserve">Predicted Political Impact in Tehran</w:t>
      </w:r>
    </w:p>
    <w:p>
      <w:pPr>
        <w:pStyle w:val="BodyText"/>
      </w:pPr>
      <w:r>
        <w:rPr>
          <w:bCs/>
          <w:b/>
        </w:rPr>
        <w:t xml:space="preserve">Risk Level for Politician</w:t>
      </w:r>
    </w:p>
    <w:p>
      <w:pPr>
        <w:pStyle w:val="BodyText"/>
      </w:pPr>
      <w:r>
        <w:t xml:space="preserve">Economic Inflation Management</w:t>
      </w:r>
    </w:p>
    <w:p>
      <w:pPr>
        <w:pStyle w:val="BodyText"/>
      </w:pPr>
      <w:r>
        <w:t xml:space="preserve">Mixed; depends on public perception of fairness.</w:t>
      </w:r>
    </w:p>
    <w:p>
      <w:pPr>
        <w:pStyle w:val="BodyText"/>
      </w:pPr>
      <w:r>
        <w:rPr>
          <w:bCs/>
          <w:b/>
        </w:rPr>
        <w:t xml:space="preserve">Critical</w:t>
      </w:r>
    </w:p>
    <w:p>
      <w:pPr>
        <w:pStyle w:val="BodyText"/>
      </w:pPr>
      <w:r>
        <w:t xml:space="preserve">The impact of inflation is immediate and visible to all citizens in Tehran.</w:t>
      </w:r>
    </w:p>
    <w:p>
      <w:pPr>
        <w:pStyle w:val="BodyText"/>
      </w:pPr>
      <w:r>
        <w:t xml:space="preserve">Social Liberalization</w:t>
      </w:r>
    </w:p>
    <w:p>
      <w:pPr>
        <w:pStyle w:val="BodyText"/>
      </w:pPr>
      <w:r>
        <w:t xml:space="preserve">Polarizing; attracts youth support but risks conservative backlash.</w:t>
      </w:r>
    </w:p>
    <w:p>
      <w:pPr>
        <w:pStyle w:val="BodyText"/>
      </w:pPr>
      <w:r>
        <w:t xml:space="preserve">Moderate to High</w:t>
      </w:r>
    </w:p>
    <w:p>
      <w:pPr>
        <w:pStyle w:val="BodyText"/>
      </w:pPr>
      <w:r>
        <w:br/>
      </w:r>
    </w:p>
    <w:p>
      <w:pPr>
        <w:pStyle w:val="BodyText"/>
      </w:pPr>
      <w:r>
        <w:rPr>
          <w:iCs/>
          <w:i/>
        </w:rPr>
        <w:t xml:space="preserve">Note:</w:t>
      </w:r>
      <w:r>
        <w:t xml:space="preserve">This variable requires careful calibration by the Politician.</w:t>
      </w:r>
    </w:p>
    <w:p>
      <w:pPr>
        <w:pStyle w:val="BodyText"/>
      </w:pPr>
      <w:r>
        <w:t xml:space="preserve">Rural-Urban Divide</w:t>
      </w:r>
    </w:p>
    <w:p>
      <w:pPr>
        <w:pStyle w:val="BodyText"/>
      </w:pPr>
      <w:r>
        <w:t xml:space="preserve">Tehran politicians often accused of neglecting provincial interests.</w:t>
      </w:r>
    </w:p>
    <w:p>
      <w:pPr>
        <w:pStyle w:val="BodyText"/>
      </w:pPr>
      <w:r>
        <w:br/>
      </w:r>
    </w:p>
    <w:p>
      <w:pPr>
        <w:pStyle w:val="BodyText"/>
      </w:pPr>
      <w:r>
        <w:rPr>
          <w:iCs/>
          <w:i/>
        </w:rPr>
        <w:t xml:space="preserve">Note:</w:t>
      </w:r>
      <w:r>
        <w:t xml:space="preserve">Affects national political capital significantly.</w:t>
      </w:r>
    </w:p>
    <w:bookmarkStart w:id="28" w:name="discussion"/>
    <w:p>
      <w:pPr>
        <w:pStyle w:val="Heading2"/>
      </w:pPr>
      <w:r>
        <w:t xml:space="preserve">6. Discussion</w:t>
      </w:r>
    </w:p>
    <w:p>
      <w:pPr>
        <w:pStyle w:val="FirstParagraph"/>
      </w:pPr>
      <w:r>
        <w:t xml:space="preserve">The synthesis of these observations reveals that the role of a Politician in Iran Tehran is one of constant negotiation. It is not enough to simply pass laws or manage budgets; one must manage narratives. The laboratory report identifies a "Trust Deficit" as the primary obstacle facing many political actors in Tehran.</w:t>
      </w:r>
    </w:p>
    <w:p>
      <w:pPr>
        <w:pStyle w:val="BodyText"/>
      </w:pPr>
      <w:r>
        <w:t xml:space="preserve">This deficit arises because citizens often perceive a gap between political rhetoric and urban reality. For instance, promises of water security for Tehran are frequently undermined by actual shortages due to mismanagement or climate factors. A Politician who fails to acknowledge these limitations loses credibility. Conversely, those who adopt a tone of pragmatic transparency tend to retain stability in their support bases.</w:t>
      </w:r>
    </w:p>
    <w:p>
      <w:pPr>
        <w:pStyle w:val="BodyText"/>
      </w:pPr>
      <w:r>
        <w:t xml:space="preserve">Furthermore, the centralization of power in Iran means that local Tehran politicians are constrained by national directives. This creates a "Sandwich Effect" where the Politician is pressured from above by state organs and from below by public demand for reform. The laboratory data suggests that resilience in this role requires strong networking skills within both conservative institutions and civil society groups.</w:t>
      </w:r>
    </w:p>
    <w:bookmarkEnd w:id="28"/>
    <w:bookmarkStart w:id="29" w:name="conclusion"/>
    <w:p>
      <w:pPr>
        <w:pStyle w:val="Heading2"/>
      </w:pPr>
      <w:r>
        <w:t xml:space="preserve">7. Conclusion</w:t>
      </w:r>
    </w:p>
    <w:p>
      <w:pPr>
        <w:pStyle w:val="FirstParagraph"/>
      </w:pPr>
      <w:r>
        <w:t xml:space="preserve">This Laboratory Report concludes that the function of a Politician in Iran Tehran is exceptionally complex, requiring a balance of ideological loyalty, administrative competence, and social empathy. Tehran acts as the pressure cooker for national politics; therefore, performance in this city is scrutinized more heavily than elsewhere.</w:t>
      </w:r>
    </w:p>
    <w:p>
      <w:pPr>
        <w:pStyle w:val="BodyText"/>
      </w:pPr>
      <w:r>
        <w:t xml:space="preserve">The data indicates that successful politicians are those who view their role not just as representatives of the state but as facilitators of urban survival and improvement. They must bridge the gap between Tehran’s modern aspirations and its traditional political framework. Ignoring the specific socio-economic realities of Tehran’s districts leads to political instability, while addressing them fosters resilience.</w:t>
      </w:r>
    </w:p>
    <w:bookmarkEnd w:id="29"/>
    <w:bookmarkStart w:id="30" w:name="recommendations-for-future-study"/>
    <w:p>
      <w:pPr>
        <w:pStyle w:val="Heading2"/>
      </w:pPr>
      <w:r>
        <w:t xml:space="preserve">8. Recommendations for Future Study</w:t>
      </w:r>
    </w:p>
    <w:p>
      <w:pPr>
        <w:pStyle w:val="FirstParagraph"/>
      </w:pPr>
      <w:r>
        <w:t xml:space="preserve">To further refine our understanding of political dynamics in this region, the following steps are recommended:</w:t>
      </w:r>
    </w:p>
    <w:p>
      <w:pPr>
        <w:numPr>
          <w:ilvl w:val="0"/>
          <w:numId w:val="1002"/>
        </w:numPr>
        <w:pStyle w:val="Compact"/>
      </w:pPr>
      <w:r>
        <w:rPr>
          <w:bCs/>
          <w:b/>
        </w:rPr>
        <w:t xml:space="preserve">Digital Sentiment Analysis:</w:t>
      </w:r>
      <w:r>
        <w:t xml:space="preserve"> </w:t>
      </w:r>
      <w:r>
        <w:t xml:space="preserve">Implement automated tools to track real-time public opinion on Tehran-specific issues.</w:t>
      </w:r>
    </w:p>
    <w:p>
      <w:pPr>
        <w:numPr>
          <w:ilvl w:val="0"/>
          <w:numId w:val="1002"/>
        </w:numPr>
        <w:pStyle w:val="Compact"/>
      </w:pPr>
      <w:r>
        <w:rPr>
          <w:bCs/>
          <w:b/>
        </w:rPr>
        <w:t xml:space="preserve">Longitudinal Case Studies:</w:t>
      </w:r>
      <w:r>
        <w:t xml:space="preserve"> </w:t>
      </w:r>
      <w:r>
        <w:t xml:space="preserve">Track individual Politicians over ten-year periods to identify long-term survival strategies.</w:t>
      </w:r>
    </w:p>
    <w:p>
      <w:pPr>
        <w:numPr>
          <w:ilvl w:val="0"/>
          <w:numId w:val="1002"/>
        </w:numPr>
        <w:pStyle w:val="Compact"/>
      </w:pPr>
      <w:r>
        <w:rPr>
          <w:bCs/>
          <w:b/>
        </w:rPr>
        <w:t xml:space="preserve">Cross-District Comparisons:</w:t>
      </w:r>
      <w:r>
        <w:t xml:space="preserve"> </w:t>
      </w:r>
      <w:r>
        <w:t xml:space="preserve">Compare political efficacy between District 1 (wealthy) and District 13 (working class) to understand class-based political demands.</w:t>
      </w:r>
    </w:p>
    <w:p>
      <w:pPr>
        <w:pStyle w:val="FirstParagraph"/>
      </w:pPr>
      <w:r>
        <w:t xml:space="preserve">This report serves as a foundational document for anyone seeking to understand the intricate mechanics of politics in the heart of Iran. It underscores that being a Politician in Tehran is not merely a career choice but a high-stakes engagement with one of the most dynamic and challenging urban environments in the Middle East.</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Politician Dynamics in Iran, Tehran</dc:title>
  <dc:creator/>
  <dc:language>en</dc:language>
  <cp:keywords/>
  <dcterms:created xsi:type="dcterms:W3CDTF">2026-07-29T05:10:48Z</dcterms:created>
  <dcterms:modified xsi:type="dcterms:W3CDTF">2026-07-29T05:10:48Z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